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70CE" w14:textId="7F2EC2B5" w:rsidR="0022168E" w:rsidRPr="00233709" w:rsidRDefault="0022168E" w:rsidP="00233709">
      <w:pPr>
        <w:autoSpaceDE w:val="0"/>
        <w:autoSpaceDN w:val="0"/>
        <w:adjustRightInd w:val="0"/>
        <w:spacing w:after="0"/>
        <w:rPr>
          <w:rFonts w:ascii="Arial" w:hAnsi="Arial" w:cs="Arial"/>
          <w:b/>
          <w:bCs/>
          <w:sz w:val="24"/>
          <w:szCs w:val="24"/>
        </w:rPr>
      </w:pPr>
      <w:r w:rsidRPr="00233709">
        <w:rPr>
          <w:rFonts w:ascii="Arial" w:hAnsi="Arial" w:cs="Arial"/>
          <w:b/>
          <w:bCs/>
          <w:sz w:val="24"/>
          <w:szCs w:val="24"/>
        </w:rPr>
        <w:t>Economics Induction Assessment</w:t>
      </w:r>
    </w:p>
    <w:p w14:paraId="510B79AF" w14:textId="77777777" w:rsidR="00183446" w:rsidRPr="00233709" w:rsidRDefault="00183446" w:rsidP="00233709">
      <w:pPr>
        <w:autoSpaceDE w:val="0"/>
        <w:autoSpaceDN w:val="0"/>
        <w:adjustRightInd w:val="0"/>
        <w:spacing w:after="0"/>
        <w:rPr>
          <w:rFonts w:ascii="Arial" w:hAnsi="Arial" w:cs="Arial"/>
          <w:b/>
          <w:bCs/>
          <w:sz w:val="24"/>
          <w:szCs w:val="24"/>
        </w:rPr>
      </w:pPr>
    </w:p>
    <w:p w14:paraId="4048092A" w14:textId="77777777" w:rsidR="00183446" w:rsidRPr="00233709" w:rsidRDefault="00183446" w:rsidP="00233709">
      <w:pPr>
        <w:autoSpaceDE w:val="0"/>
        <w:autoSpaceDN w:val="0"/>
        <w:adjustRightInd w:val="0"/>
        <w:spacing w:after="0"/>
        <w:rPr>
          <w:rFonts w:ascii="Arial" w:hAnsi="Arial" w:cs="Arial"/>
          <w:b/>
          <w:bCs/>
          <w:sz w:val="24"/>
          <w:szCs w:val="24"/>
        </w:rPr>
      </w:pPr>
      <w:r w:rsidRPr="00233709">
        <w:rPr>
          <w:rFonts w:ascii="Arial" w:hAnsi="Arial" w:cs="Arial"/>
          <w:b/>
          <w:bCs/>
          <w:sz w:val="24"/>
          <w:szCs w:val="24"/>
        </w:rPr>
        <w:t>Time allowed: 30 minutes</w:t>
      </w:r>
    </w:p>
    <w:p w14:paraId="26945AE3" w14:textId="77777777" w:rsidR="0022168E" w:rsidRPr="00233709" w:rsidRDefault="0022168E" w:rsidP="00233709">
      <w:pPr>
        <w:autoSpaceDE w:val="0"/>
        <w:autoSpaceDN w:val="0"/>
        <w:adjustRightInd w:val="0"/>
        <w:spacing w:after="0"/>
        <w:rPr>
          <w:rFonts w:ascii="Arial" w:hAnsi="Arial" w:cs="Arial"/>
          <w:b/>
          <w:bCs/>
          <w:sz w:val="24"/>
          <w:szCs w:val="24"/>
        </w:rPr>
      </w:pPr>
    </w:p>
    <w:p w14:paraId="246F8D02" w14:textId="77777777" w:rsidR="0022168E" w:rsidRPr="00233709" w:rsidRDefault="0022168E" w:rsidP="00233709">
      <w:pPr>
        <w:autoSpaceDE w:val="0"/>
        <w:autoSpaceDN w:val="0"/>
        <w:adjustRightInd w:val="0"/>
        <w:spacing w:after="0"/>
        <w:rPr>
          <w:rFonts w:ascii="Arial" w:hAnsi="Arial" w:cs="Arial"/>
          <w:b/>
          <w:bCs/>
          <w:sz w:val="24"/>
          <w:szCs w:val="24"/>
        </w:rPr>
      </w:pPr>
    </w:p>
    <w:p w14:paraId="668157B2" w14:textId="77777777" w:rsidR="00392F7C" w:rsidRPr="00233709" w:rsidRDefault="00392F7C" w:rsidP="00233709">
      <w:pPr>
        <w:autoSpaceDE w:val="0"/>
        <w:autoSpaceDN w:val="0"/>
        <w:adjustRightInd w:val="0"/>
        <w:spacing w:after="0"/>
        <w:rPr>
          <w:rFonts w:ascii="Arial" w:hAnsi="Arial" w:cs="Arial"/>
          <w:b/>
          <w:bCs/>
          <w:sz w:val="24"/>
          <w:szCs w:val="24"/>
        </w:rPr>
      </w:pPr>
      <w:r w:rsidRPr="00233709">
        <w:rPr>
          <w:rFonts w:ascii="Arial" w:hAnsi="Arial" w:cs="Arial"/>
          <w:b/>
          <w:bCs/>
          <w:sz w:val="24"/>
          <w:szCs w:val="24"/>
        </w:rPr>
        <w:t>Extract A: UK public sector investment and borrowing, 2003 to 2011 (£ billion)</w:t>
      </w:r>
    </w:p>
    <w:p w14:paraId="0B0E3CEE" w14:textId="77777777" w:rsidR="00392F7C" w:rsidRPr="00233709" w:rsidRDefault="00392F7C" w:rsidP="00233709">
      <w:pPr>
        <w:autoSpaceDE w:val="0"/>
        <w:autoSpaceDN w:val="0"/>
        <w:adjustRightInd w:val="0"/>
        <w:spacing w:after="0"/>
        <w:rPr>
          <w:rFonts w:ascii="Arial" w:hAnsi="Arial" w:cs="Arial"/>
          <w:b/>
          <w:bCs/>
          <w:sz w:val="24"/>
          <w:szCs w:val="24"/>
        </w:rPr>
      </w:pPr>
    </w:p>
    <w:tbl>
      <w:tblPr>
        <w:tblW w:w="0" w:type="auto"/>
        <w:tblInd w:w="842" w:type="dxa"/>
        <w:tblLayout w:type="fixed"/>
        <w:tblCellMar>
          <w:left w:w="0" w:type="dxa"/>
          <w:right w:w="0" w:type="dxa"/>
        </w:tblCellMar>
        <w:tblLook w:val="0000" w:firstRow="0" w:lastRow="0" w:firstColumn="0" w:lastColumn="0" w:noHBand="0" w:noVBand="0"/>
      </w:tblPr>
      <w:tblGrid>
        <w:gridCol w:w="957"/>
        <w:gridCol w:w="2905"/>
        <w:gridCol w:w="2193"/>
      </w:tblGrid>
      <w:tr w:rsidR="00392F7C" w:rsidRPr="00233709" w14:paraId="58EC7911" w14:textId="77777777" w:rsidTr="00F800A3">
        <w:trPr>
          <w:trHeight w:hRule="exact" w:val="454"/>
        </w:trPr>
        <w:tc>
          <w:tcPr>
            <w:tcW w:w="957" w:type="dxa"/>
            <w:tcBorders>
              <w:top w:val="single" w:sz="4" w:space="0" w:color="231F20"/>
              <w:left w:val="nil"/>
              <w:bottom w:val="single" w:sz="4" w:space="0" w:color="231F20"/>
              <w:right w:val="single" w:sz="4" w:space="0" w:color="231F20"/>
            </w:tcBorders>
            <w:shd w:val="clear" w:color="auto" w:fill="D9D9D8"/>
          </w:tcPr>
          <w:p w14:paraId="3C443434" w14:textId="77777777" w:rsidR="00392F7C" w:rsidRPr="00233709" w:rsidRDefault="00392F7C" w:rsidP="00233709">
            <w:pPr>
              <w:autoSpaceDE w:val="0"/>
              <w:autoSpaceDN w:val="0"/>
              <w:adjustRightInd w:val="0"/>
              <w:spacing w:before="84" w:after="0"/>
              <w:ind w:left="153" w:right="-20"/>
              <w:rPr>
                <w:rFonts w:ascii="Arial" w:hAnsi="Arial" w:cs="Arial"/>
                <w:sz w:val="24"/>
                <w:szCs w:val="24"/>
              </w:rPr>
            </w:pPr>
            <w:r w:rsidRPr="00233709">
              <w:rPr>
                <w:rFonts w:ascii="Arial" w:hAnsi="Arial" w:cs="Arial"/>
                <w:b/>
                <w:bCs/>
                <w:color w:val="231F20"/>
                <w:spacing w:val="-13"/>
                <w:sz w:val="24"/>
                <w:szCs w:val="24"/>
              </w:rPr>
              <w:t>Y</w:t>
            </w:r>
            <w:r w:rsidRPr="00233709">
              <w:rPr>
                <w:rFonts w:ascii="Arial" w:hAnsi="Arial" w:cs="Arial"/>
                <w:b/>
                <w:bCs/>
                <w:color w:val="231F20"/>
                <w:sz w:val="24"/>
                <w:szCs w:val="24"/>
              </w:rPr>
              <w:t>ear</w:t>
            </w:r>
          </w:p>
        </w:tc>
        <w:tc>
          <w:tcPr>
            <w:tcW w:w="2905" w:type="dxa"/>
            <w:tcBorders>
              <w:top w:val="single" w:sz="4" w:space="0" w:color="231F20"/>
              <w:left w:val="single" w:sz="4" w:space="0" w:color="231F20"/>
              <w:bottom w:val="single" w:sz="4" w:space="0" w:color="231F20"/>
              <w:right w:val="single" w:sz="4" w:space="0" w:color="231F20"/>
            </w:tcBorders>
            <w:shd w:val="clear" w:color="auto" w:fill="D9D9D8"/>
          </w:tcPr>
          <w:p w14:paraId="1F937C25" w14:textId="77777777" w:rsidR="00392F7C" w:rsidRPr="00233709" w:rsidRDefault="00392F7C" w:rsidP="00233709">
            <w:pPr>
              <w:autoSpaceDE w:val="0"/>
              <w:autoSpaceDN w:val="0"/>
              <w:adjustRightInd w:val="0"/>
              <w:spacing w:before="84" w:after="0"/>
              <w:ind w:left="814" w:right="-20"/>
              <w:rPr>
                <w:rFonts w:ascii="Arial" w:hAnsi="Arial" w:cs="Arial"/>
                <w:sz w:val="24"/>
                <w:szCs w:val="24"/>
              </w:rPr>
            </w:pPr>
            <w:r w:rsidRPr="00233709">
              <w:rPr>
                <w:rFonts w:ascii="Arial" w:hAnsi="Arial" w:cs="Arial"/>
                <w:b/>
                <w:bCs/>
                <w:color w:val="231F20"/>
                <w:sz w:val="24"/>
                <w:szCs w:val="24"/>
              </w:rPr>
              <w:t>Investment</w:t>
            </w:r>
          </w:p>
        </w:tc>
        <w:tc>
          <w:tcPr>
            <w:tcW w:w="2193" w:type="dxa"/>
            <w:tcBorders>
              <w:top w:val="single" w:sz="4" w:space="0" w:color="231F20"/>
              <w:left w:val="single" w:sz="4" w:space="0" w:color="231F20"/>
              <w:bottom w:val="single" w:sz="4" w:space="0" w:color="231F20"/>
              <w:right w:val="nil"/>
            </w:tcBorders>
            <w:shd w:val="clear" w:color="auto" w:fill="D9D9D8"/>
          </w:tcPr>
          <w:p w14:paraId="780E5554" w14:textId="77777777" w:rsidR="00392F7C" w:rsidRPr="00233709" w:rsidRDefault="00392F7C" w:rsidP="00233709">
            <w:pPr>
              <w:autoSpaceDE w:val="0"/>
              <w:autoSpaceDN w:val="0"/>
              <w:adjustRightInd w:val="0"/>
              <w:spacing w:before="84" w:after="0"/>
              <w:ind w:left="848" w:right="-20"/>
              <w:rPr>
                <w:rFonts w:ascii="Arial" w:hAnsi="Arial" w:cs="Arial"/>
                <w:sz w:val="24"/>
                <w:szCs w:val="24"/>
              </w:rPr>
            </w:pPr>
            <w:r w:rsidRPr="00233709">
              <w:rPr>
                <w:rFonts w:ascii="Arial" w:hAnsi="Arial" w:cs="Arial"/>
                <w:b/>
                <w:bCs/>
                <w:color w:val="231F20"/>
                <w:sz w:val="24"/>
                <w:szCs w:val="24"/>
              </w:rPr>
              <w:t>Borrowing</w:t>
            </w:r>
          </w:p>
        </w:tc>
      </w:tr>
      <w:tr w:rsidR="00392F7C" w:rsidRPr="00233709" w14:paraId="6B289FC3" w14:textId="77777777" w:rsidTr="00F800A3">
        <w:trPr>
          <w:trHeight w:hRule="exact" w:val="454"/>
        </w:trPr>
        <w:tc>
          <w:tcPr>
            <w:tcW w:w="957" w:type="dxa"/>
            <w:tcBorders>
              <w:top w:val="single" w:sz="4" w:space="0" w:color="231F20"/>
              <w:left w:val="nil"/>
              <w:bottom w:val="single" w:sz="4" w:space="0" w:color="231F20"/>
              <w:right w:val="single" w:sz="4" w:space="0" w:color="231F20"/>
            </w:tcBorders>
          </w:tcPr>
          <w:p w14:paraId="02ED5D44" w14:textId="77777777" w:rsidR="00392F7C" w:rsidRPr="00233709" w:rsidRDefault="00392F7C" w:rsidP="00233709">
            <w:pPr>
              <w:autoSpaceDE w:val="0"/>
              <w:autoSpaceDN w:val="0"/>
              <w:adjustRightInd w:val="0"/>
              <w:spacing w:before="84" w:after="0"/>
              <w:ind w:left="140" w:right="-20"/>
              <w:rPr>
                <w:rFonts w:ascii="Arial" w:hAnsi="Arial" w:cs="Arial"/>
                <w:sz w:val="24"/>
                <w:szCs w:val="24"/>
              </w:rPr>
            </w:pPr>
            <w:r w:rsidRPr="00233709">
              <w:rPr>
                <w:rFonts w:ascii="Arial" w:hAnsi="Arial" w:cs="Arial"/>
                <w:color w:val="231F20"/>
                <w:sz w:val="24"/>
                <w:szCs w:val="24"/>
              </w:rPr>
              <w:t>2003</w:t>
            </w:r>
          </w:p>
        </w:tc>
        <w:tc>
          <w:tcPr>
            <w:tcW w:w="2905" w:type="dxa"/>
            <w:tcBorders>
              <w:top w:val="single" w:sz="4" w:space="0" w:color="231F20"/>
              <w:left w:val="single" w:sz="4" w:space="0" w:color="231F20"/>
              <w:bottom w:val="single" w:sz="4" w:space="0" w:color="231F20"/>
              <w:right w:val="single" w:sz="4" w:space="0" w:color="231F20"/>
            </w:tcBorders>
          </w:tcPr>
          <w:p w14:paraId="671FB63E" w14:textId="77777777" w:rsidR="00392F7C" w:rsidRPr="00233709" w:rsidRDefault="00392F7C" w:rsidP="00233709">
            <w:pPr>
              <w:autoSpaceDE w:val="0"/>
              <w:autoSpaceDN w:val="0"/>
              <w:adjustRightInd w:val="0"/>
              <w:spacing w:before="84" w:after="0"/>
              <w:ind w:left="1109" w:right="1089"/>
              <w:jc w:val="center"/>
              <w:rPr>
                <w:rFonts w:ascii="Arial" w:hAnsi="Arial" w:cs="Arial"/>
                <w:sz w:val="24"/>
                <w:szCs w:val="24"/>
              </w:rPr>
            </w:pPr>
            <w:r w:rsidRPr="00233709">
              <w:rPr>
                <w:rFonts w:ascii="Arial" w:hAnsi="Arial" w:cs="Arial"/>
                <w:color w:val="231F20"/>
                <w:sz w:val="24"/>
                <w:szCs w:val="24"/>
              </w:rPr>
              <w:t>15.06</w:t>
            </w:r>
          </w:p>
        </w:tc>
        <w:tc>
          <w:tcPr>
            <w:tcW w:w="2193" w:type="dxa"/>
            <w:tcBorders>
              <w:top w:val="single" w:sz="4" w:space="0" w:color="231F20"/>
              <w:left w:val="single" w:sz="4" w:space="0" w:color="231F20"/>
              <w:bottom w:val="single" w:sz="4" w:space="0" w:color="231F20"/>
              <w:right w:val="nil"/>
            </w:tcBorders>
          </w:tcPr>
          <w:p w14:paraId="469F5FBD" w14:textId="77777777" w:rsidR="00392F7C" w:rsidRPr="00233709" w:rsidRDefault="00392F7C" w:rsidP="00233709">
            <w:pPr>
              <w:autoSpaceDE w:val="0"/>
              <w:autoSpaceDN w:val="0"/>
              <w:adjustRightInd w:val="0"/>
              <w:spacing w:before="84" w:after="0"/>
              <w:ind w:left="1214" w:right="-20"/>
              <w:rPr>
                <w:rFonts w:ascii="Arial" w:hAnsi="Arial" w:cs="Arial"/>
                <w:sz w:val="24"/>
                <w:szCs w:val="24"/>
              </w:rPr>
            </w:pPr>
            <w:r w:rsidRPr="00233709">
              <w:rPr>
                <w:rFonts w:ascii="Arial" w:hAnsi="Arial" w:cs="Arial"/>
                <w:color w:val="231F20"/>
                <w:sz w:val="24"/>
                <w:szCs w:val="24"/>
              </w:rPr>
              <w:t>34.89</w:t>
            </w:r>
          </w:p>
        </w:tc>
      </w:tr>
      <w:tr w:rsidR="00392F7C" w:rsidRPr="00233709" w14:paraId="3B376ADC" w14:textId="77777777" w:rsidTr="00F800A3">
        <w:trPr>
          <w:trHeight w:hRule="exact" w:val="454"/>
        </w:trPr>
        <w:tc>
          <w:tcPr>
            <w:tcW w:w="957" w:type="dxa"/>
            <w:tcBorders>
              <w:top w:val="single" w:sz="4" w:space="0" w:color="231F20"/>
              <w:left w:val="nil"/>
              <w:bottom w:val="single" w:sz="4" w:space="0" w:color="231F20"/>
              <w:right w:val="single" w:sz="4" w:space="0" w:color="231F20"/>
            </w:tcBorders>
          </w:tcPr>
          <w:p w14:paraId="1085EE55" w14:textId="77777777" w:rsidR="00392F7C" w:rsidRPr="00233709" w:rsidRDefault="00392F7C" w:rsidP="00233709">
            <w:pPr>
              <w:autoSpaceDE w:val="0"/>
              <w:autoSpaceDN w:val="0"/>
              <w:adjustRightInd w:val="0"/>
              <w:spacing w:before="84" w:after="0"/>
              <w:ind w:left="140" w:right="-20"/>
              <w:rPr>
                <w:rFonts w:ascii="Arial" w:hAnsi="Arial" w:cs="Arial"/>
                <w:sz w:val="24"/>
                <w:szCs w:val="24"/>
              </w:rPr>
            </w:pPr>
            <w:r w:rsidRPr="00233709">
              <w:rPr>
                <w:rFonts w:ascii="Arial" w:hAnsi="Arial" w:cs="Arial"/>
                <w:color w:val="231F20"/>
                <w:sz w:val="24"/>
                <w:szCs w:val="24"/>
              </w:rPr>
              <w:t>2004</w:t>
            </w:r>
          </w:p>
        </w:tc>
        <w:tc>
          <w:tcPr>
            <w:tcW w:w="2905" w:type="dxa"/>
            <w:tcBorders>
              <w:top w:val="single" w:sz="4" w:space="0" w:color="231F20"/>
              <w:left w:val="single" w:sz="4" w:space="0" w:color="231F20"/>
              <w:bottom w:val="single" w:sz="4" w:space="0" w:color="231F20"/>
              <w:right w:val="single" w:sz="4" w:space="0" w:color="231F20"/>
            </w:tcBorders>
          </w:tcPr>
          <w:p w14:paraId="7D14FB55" w14:textId="77777777" w:rsidR="00392F7C" w:rsidRPr="00233709" w:rsidRDefault="00392F7C" w:rsidP="00233709">
            <w:pPr>
              <w:autoSpaceDE w:val="0"/>
              <w:autoSpaceDN w:val="0"/>
              <w:adjustRightInd w:val="0"/>
              <w:spacing w:before="84" w:after="0"/>
              <w:ind w:left="1109" w:right="1089"/>
              <w:jc w:val="center"/>
              <w:rPr>
                <w:rFonts w:ascii="Arial" w:hAnsi="Arial" w:cs="Arial"/>
                <w:sz w:val="24"/>
                <w:szCs w:val="24"/>
              </w:rPr>
            </w:pPr>
            <w:r w:rsidRPr="00233709">
              <w:rPr>
                <w:rFonts w:ascii="Arial" w:hAnsi="Arial" w:cs="Arial"/>
                <w:color w:val="231F20"/>
                <w:sz w:val="24"/>
                <w:szCs w:val="24"/>
              </w:rPr>
              <w:t>16.98</w:t>
            </w:r>
          </w:p>
        </w:tc>
        <w:tc>
          <w:tcPr>
            <w:tcW w:w="2193" w:type="dxa"/>
            <w:tcBorders>
              <w:top w:val="single" w:sz="4" w:space="0" w:color="231F20"/>
              <w:left w:val="single" w:sz="4" w:space="0" w:color="231F20"/>
              <w:bottom w:val="single" w:sz="4" w:space="0" w:color="231F20"/>
              <w:right w:val="nil"/>
            </w:tcBorders>
          </w:tcPr>
          <w:p w14:paraId="28FADE85" w14:textId="77777777" w:rsidR="00392F7C" w:rsidRPr="00233709" w:rsidRDefault="00392F7C" w:rsidP="00233709">
            <w:pPr>
              <w:autoSpaceDE w:val="0"/>
              <w:autoSpaceDN w:val="0"/>
              <w:adjustRightInd w:val="0"/>
              <w:spacing w:before="84" w:after="0"/>
              <w:ind w:left="1214" w:right="-20"/>
              <w:rPr>
                <w:rFonts w:ascii="Arial" w:hAnsi="Arial" w:cs="Arial"/>
                <w:sz w:val="24"/>
                <w:szCs w:val="24"/>
              </w:rPr>
            </w:pPr>
            <w:r w:rsidRPr="00233709">
              <w:rPr>
                <w:rFonts w:ascii="Arial" w:hAnsi="Arial" w:cs="Arial"/>
                <w:color w:val="231F20"/>
                <w:sz w:val="24"/>
                <w:szCs w:val="24"/>
              </w:rPr>
              <w:t>37.95</w:t>
            </w:r>
          </w:p>
        </w:tc>
      </w:tr>
      <w:tr w:rsidR="00392F7C" w:rsidRPr="00233709" w14:paraId="3B42511E" w14:textId="77777777" w:rsidTr="00F800A3">
        <w:trPr>
          <w:trHeight w:hRule="exact" w:val="454"/>
        </w:trPr>
        <w:tc>
          <w:tcPr>
            <w:tcW w:w="957" w:type="dxa"/>
            <w:tcBorders>
              <w:top w:val="single" w:sz="4" w:space="0" w:color="231F20"/>
              <w:left w:val="nil"/>
              <w:bottom w:val="single" w:sz="4" w:space="0" w:color="231F20"/>
              <w:right w:val="single" w:sz="4" w:space="0" w:color="231F20"/>
            </w:tcBorders>
          </w:tcPr>
          <w:p w14:paraId="580B4BE4" w14:textId="77777777" w:rsidR="00392F7C" w:rsidRPr="00233709" w:rsidRDefault="00392F7C" w:rsidP="00233709">
            <w:pPr>
              <w:autoSpaceDE w:val="0"/>
              <w:autoSpaceDN w:val="0"/>
              <w:adjustRightInd w:val="0"/>
              <w:spacing w:before="84" w:after="0"/>
              <w:ind w:left="140" w:right="-20"/>
              <w:rPr>
                <w:rFonts w:ascii="Arial" w:hAnsi="Arial" w:cs="Arial"/>
                <w:sz w:val="24"/>
                <w:szCs w:val="24"/>
              </w:rPr>
            </w:pPr>
            <w:r w:rsidRPr="00233709">
              <w:rPr>
                <w:rFonts w:ascii="Arial" w:hAnsi="Arial" w:cs="Arial"/>
                <w:color w:val="231F20"/>
                <w:sz w:val="24"/>
                <w:szCs w:val="24"/>
              </w:rPr>
              <w:t>2005</w:t>
            </w:r>
          </w:p>
        </w:tc>
        <w:tc>
          <w:tcPr>
            <w:tcW w:w="2905" w:type="dxa"/>
            <w:tcBorders>
              <w:top w:val="single" w:sz="4" w:space="0" w:color="231F20"/>
              <w:left w:val="single" w:sz="4" w:space="0" w:color="231F20"/>
              <w:bottom w:val="single" w:sz="4" w:space="0" w:color="231F20"/>
              <w:right w:val="single" w:sz="4" w:space="0" w:color="231F20"/>
            </w:tcBorders>
          </w:tcPr>
          <w:p w14:paraId="446B5F17" w14:textId="77777777" w:rsidR="00392F7C" w:rsidRPr="00233709" w:rsidRDefault="00392F7C" w:rsidP="00233709">
            <w:pPr>
              <w:autoSpaceDE w:val="0"/>
              <w:autoSpaceDN w:val="0"/>
              <w:adjustRightInd w:val="0"/>
              <w:spacing w:before="84" w:after="0"/>
              <w:ind w:left="1109" w:right="1089"/>
              <w:jc w:val="center"/>
              <w:rPr>
                <w:rFonts w:ascii="Arial" w:hAnsi="Arial" w:cs="Arial"/>
                <w:sz w:val="24"/>
                <w:szCs w:val="24"/>
              </w:rPr>
            </w:pPr>
            <w:r w:rsidRPr="00233709">
              <w:rPr>
                <w:rFonts w:ascii="Arial" w:hAnsi="Arial" w:cs="Arial"/>
                <w:color w:val="231F20"/>
                <w:sz w:val="24"/>
                <w:szCs w:val="24"/>
              </w:rPr>
              <w:t>23.95</w:t>
            </w:r>
          </w:p>
        </w:tc>
        <w:tc>
          <w:tcPr>
            <w:tcW w:w="2193" w:type="dxa"/>
            <w:tcBorders>
              <w:top w:val="single" w:sz="4" w:space="0" w:color="231F20"/>
              <w:left w:val="single" w:sz="4" w:space="0" w:color="231F20"/>
              <w:bottom w:val="single" w:sz="4" w:space="0" w:color="231F20"/>
              <w:right w:val="nil"/>
            </w:tcBorders>
          </w:tcPr>
          <w:p w14:paraId="662BD975" w14:textId="77777777" w:rsidR="00392F7C" w:rsidRPr="00233709" w:rsidRDefault="00392F7C" w:rsidP="00233709">
            <w:pPr>
              <w:autoSpaceDE w:val="0"/>
              <w:autoSpaceDN w:val="0"/>
              <w:adjustRightInd w:val="0"/>
              <w:spacing w:before="84" w:after="0"/>
              <w:ind w:left="1214" w:right="-20"/>
              <w:rPr>
                <w:rFonts w:ascii="Arial" w:hAnsi="Arial" w:cs="Arial"/>
                <w:sz w:val="24"/>
                <w:szCs w:val="24"/>
              </w:rPr>
            </w:pPr>
            <w:r w:rsidRPr="00233709">
              <w:rPr>
                <w:rFonts w:ascii="Arial" w:hAnsi="Arial" w:cs="Arial"/>
                <w:color w:val="231F20"/>
                <w:sz w:val="24"/>
                <w:szCs w:val="24"/>
              </w:rPr>
              <w:t>42.59</w:t>
            </w:r>
          </w:p>
        </w:tc>
      </w:tr>
      <w:tr w:rsidR="00392F7C" w:rsidRPr="00233709" w14:paraId="64CC2C6B" w14:textId="77777777" w:rsidTr="00F800A3">
        <w:trPr>
          <w:trHeight w:hRule="exact" w:val="454"/>
        </w:trPr>
        <w:tc>
          <w:tcPr>
            <w:tcW w:w="957" w:type="dxa"/>
            <w:tcBorders>
              <w:top w:val="single" w:sz="4" w:space="0" w:color="231F20"/>
              <w:left w:val="nil"/>
              <w:bottom w:val="single" w:sz="4" w:space="0" w:color="231F20"/>
              <w:right w:val="single" w:sz="4" w:space="0" w:color="231F20"/>
            </w:tcBorders>
          </w:tcPr>
          <w:p w14:paraId="7A2ED026" w14:textId="77777777" w:rsidR="00392F7C" w:rsidRPr="00233709" w:rsidRDefault="00392F7C" w:rsidP="00233709">
            <w:pPr>
              <w:autoSpaceDE w:val="0"/>
              <w:autoSpaceDN w:val="0"/>
              <w:adjustRightInd w:val="0"/>
              <w:spacing w:before="84" w:after="0"/>
              <w:ind w:left="140" w:right="-20"/>
              <w:rPr>
                <w:rFonts w:ascii="Arial" w:hAnsi="Arial" w:cs="Arial"/>
                <w:sz w:val="24"/>
                <w:szCs w:val="24"/>
              </w:rPr>
            </w:pPr>
            <w:r w:rsidRPr="00233709">
              <w:rPr>
                <w:rFonts w:ascii="Arial" w:hAnsi="Arial" w:cs="Arial"/>
                <w:color w:val="231F20"/>
                <w:sz w:val="24"/>
                <w:szCs w:val="24"/>
              </w:rPr>
              <w:t>2006</w:t>
            </w:r>
          </w:p>
        </w:tc>
        <w:tc>
          <w:tcPr>
            <w:tcW w:w="2905" w:type="dxa"/>
            <w:tcBorders>
              <w:top w:val="single" w:sz="4" w:space="0" w:color="231F20"/>
              <w:left w:val="single" w:sz="4" w:space="0" w:color="231F20"/>
              <w:bottom w:val="single" w:sz="4" w:space="0" w:color="231F20"/>
              <w:right w:val="single" w:sz="4" w:space="0" w:color="231F20"/>
            </w:tcBorders>
          </w:tcPr>
          <w:p w14:paraId="70F4435A" w14:textId="77777777" w:rsidR="00392F7C" w:rsidRPr="00233709" w:rsidRDefault="00392F7C" w:rsidP="00233709">
            <w:pPr>
              <w:autoSpaceDE w:val="0"/>
              <w:autoSpaceDN w:val="0"/>
              <w:adjustRightInd w:val="0"/>
              <w:spacing w:before="84" w:after="0"/>
              <w:ind w:left="1109" w:right="1089"/>
              <w:jc w:val="center"/>
              <w:rPr>
                <w:rFonts w:ascii="Arial" w:hAnsi="Arial" w:cs="Arial"/>
                <w:sz w:val="24"/>
                <w:szCs w:val="24"/>
              </w:rPr>
            </w:pPr>
            <w:r w:rsidRPr="00233709">
              <w:rPr>
                <w:rFonts w:ascii="Arial" w:hAnsi="Arial" w:cs="Arial"/>
                <w:color w:val="231F20"/>
                <w:sz w:val="24"/>
                <w:szCs w:val="24"/>
              </w:rPr>
              <w:t>23.79</w:t>
            </w:r>
          </w:p>
        </w:tc>
        <w:tc>
          <w:tcPr>
            <w:tcW w:w="2193" w:type="dxa"/>
            <w:tcBorders>
              <w:top w:val="single" w:sz="4" w:space="0" w:color="231F20"/>
              <w:left w:val="single" w:sz="4" w:space="0" w:color="231F20"/>
              <w:bottom w:val="single" w:sz="4" w:space="0" w:color="231F20"/>
              <w:right w:val="nil"/>
            </w:tcBorders>
          </w:tcPr>
          <w:p w14:paraId="65C8D625" w14:textId="77777777" w:rsidR="00392F7C" w:rsidRPr="00233709" w:rsidRDefault="00392F7C" w:rsidP="00233709">
            <w:pPr>
              <w:autoSpaceDE w:val="0"/>
              <w:autoSpaceDN w:val="0"/>
              <w:adjustRightInd w:val="0"/>
              <w:spacing w:before="84" w:after="0"/>
              <w:ind w:left="1214" w:right="-20"/>
              <w:rPr>
                <w:rFonts w:ascii="Arial" w:hAnsi="Arial" w:cs="Arial"/>
                <w:sz w:val="24"/>
                <w:szCs w:val="24"/>
              </w:rPr>
            </w:pPr>
            <w:r w:rsidRPr="00233709">
              <w:rPr>
                <w:rFonts w:ascii="Arial" w:hAnsi="Arial" w:cs="Arial"/>
                <w:color w:val="231F20"/>
                <w:sz w:val="24"/>
                <w:szCs w:val="24"/>
              </w:rPr>
              <w:t>32.17</w:t>
            </w:r>
          </w:p>
        </w:tc>
      </w:tr>
      <w:tr w:rsidR="00392F7C" w:rsidRPr="00233709" w14:paraId="02D5B7A7" w14:textId="77777777" w:rsidTr="00F800A3">
        <w:trPr>
          <w:trHeight w:hRule="exact" w:val="454"/>
        </w:trPr>
        <w:tc>
          <w:tcPr>
            <w:tcW w:w="957" w:type="dxa"/>
            <w:tcBorders>
              <w:top w:val="single" w:sz="4" w:space="0" w:color="231F20"/>
              <w:left w:val="nil"/>
              <w:bottom w:val="single" w:sz="4" w:space="0" w:color="231F20"/>
              <w:right w:val="single" w:sz="4" w:space="0" w:color="231F20"/>
            </w:tcBorders>
          </w:tcPr>
          <w:p w14:paraId="07D1030E" w14:textId="77777777" w:rsidR="00392F7C" w:rsidRPr="00233709" w:rsidRDefault="00392F7C" w:rsidP="00233709">
            <w:pPr>
              <w:autoSpaceDE w:val="0"/>
              <w:autoSpaceDN w:val="0"/>
              <w:adjustRightInd w:val="0"/>
              <w:spacing w:before="84" w:after="0"/>
              <w:ind w:left="140" w:right="-20"/>
              <w:rPr>
                <w:rFonts w:ascii="Arial" w:hAnsi="Arial" w:cs="Arial"/>
                <w:sz w:val="24"/>
                <w:szCs w:val="24"/>
              </w:rPr>
            </w:pPr>
            <w:r w:rsidRPr="00233709">
              <w:rPr>
                <w:rFonts w:ascii="Arial" w:hAnsi="Arial" w:cs="Arial"/>
                <w:color w:val="231F20"/>
                <w:sz w:val="24"/>
                <w:szCs w:val="24"/>
              </w:rPr>
              <w:t>2007</w:t>
            </w:r>
          </w:p>
        </w:tc>
        <w:tc>
          <w:tcPr>
            <w:tcW w:w="2905" w:type="dxa"/>
            <w:tcBorders>
              <w:top w:val="single" w:sz="4" w:space="0" w:color="231F20"/>
              <w:left w:val="single" w:sz="4" w:space="0" w:color="231F20"/>
              <w:bottom w:val="single" w:sz="4" w:space="0" w:color="231F20"/>
              <w:right w:val="single" w:sz="4" w:space="0" w:color="231F20"/>
            </w:tcBorders>
          </w:tcPr>
          <w:p w14:paraId="786EDF10" w14:textId="77777777" w:rsidR="00392F7C" w:rsidRPr="00233709" w:rsidRDefault="00392F7C" w:rsidP="00233709">
            <w:pPr>
              <w:autoSpaceDE w:val="0"/>
              <w:autoSpaceDN w:val="0"/>
              <w:adjustRightInd w:val="0"/>
              <w:spacing w:before="84" w:after="0"/>
              <w:ind w:left="1109" w:right="1089"/>
              <w:jc w:val="center"/>
              <w:rPr>
                <w:rFonts w:ascii="Arial" w:hAnsi="Arial" w:cs="Arial"/>
                <w:sz w:val="24"/>
                <w:szCs w:val="24"/>
              </w:rPr>
            </w:pPr>
            <w:r w:rsidRPr="00233709">
              <w:rPr>
                <w:rFonts w:ascii="Arial" w:hAnsi="Arial" w:cs="Arial"/>
                <w:color w:val="231F20"/>
                <w:sz w:val="24"/>
                <w:szCs w:val="24"/>
              </w:rPr>
              <w:t>25.98</w:t>
            </w:r>
          </w:p>
        </w:tc>
        <w:tc>
          <w:tcPr>
            <w:tcW w:w="2193" w:type="dxa"/>
            <w:tcBorders>
              <w:top w:val="single" w:sz="4" w:space="0" w:color="231F20"/>
              <w:left w:val="single" w:sz="4" w:space="0" w:color="231F20"/>
              <w:bottom w:val="single" w:sz="4" w:space="0" w:color="231F20"/>
              <w:right w:val="nil"/>
            </w:tcBorders>
          </w:tcPr>
          <w:p w14:paraId="507064BE" w14:textId="77777777" w:rsidR="00392F7C" w:rsidRPr="00233709" w:rsidRDefault="00392F7C" w:rsidP="00233709">
            <w:pPr>
              <w:autoSpaceDE w:val="0"/>
              <w:autoSpaceDN w:val="0"/>
              <w:adjustRightInd w:val="0"/>
              <w:spacing w:before="84" w:after="0"/>
              <w:ind w:left="1214" w:right="-20"/>
              <w:rPr>
                <w:rFonts w:ascii="Arial" w:hAnsi="Arial" w:cs="Arial"/>
                <w:sz w:val="24"/>
                <w:szCs w:val="24"/>
              </w:rPr>
            </w:pPr>
            <w:r w:rsidRPr="00233709">
              <w:rPr>
                <w:rFonts w:ascii="Arial" w:hAnsi="Arial" w:cs="Arial"/>
                <w:color w:val="231F20"/>
                <w:sz w:val="24"/>
                <w:szCs w:val="24"/>
              </w:rPr>
              <w:t>36.36</w:t>
            </w:r>
          </w:p>
        </w:tc>
      </w:tr>
      <w:tr w:rsidR="00392F7C" w:rsidRPr="00233709" w14:paraId="39335F14" w14:textId="77777777" w:rsidTr="00F800A3">
        <w:trPr>
          <w:trHeight w:hRule="exact" w:val="454"/>
        </w:trPr>
        <w:tc>
          <w:tcPr>
            <w:tcW w:w="957" w:type="dxa"/>
            <w:tcBorders>
              <w:top w:val="single" w:sz="4" w:space="0" w:color="231F20"/>
              <w:left w:val="nil"/>
              <w:bottom w:val="single" w:sz="4" w:space="0" w:color="231F20"/>
              <w:right w:val="single" w:sz="4" w:space="0" w:color="231F20"/>
            </w:tcBorders>
          </w:tcPr>
          <w:p w14:paraId="5BF320FD" w14:textId="77777777" w:rsidR="00392F7C" w:rsidRPr="00233709" w:rsidRDefault="00392F7C" w:rsidP="00233709">
            <w:pPr>
              <w:autoSpaceDE w:val="0"/>
              <w:autoSpaceDN w:val="0"/>
              <w:adjustRightInd w:val="0"/>
              <w:spacing w:before="84" w:after="0"/>
              <w:ind w:left="140" w:right="-20"/>
              <w:rPr>
                <w:rFonts w:ascii="Arial" w:hAnsi="Arial" w:cs="Arial"/>
                <w:sz w:val="24"/>
                <w:szCs w:val="24"/>
              </w:rPr>
            </w:pPr>
            <w:r w:rsidRPr="00233709">
              <w:rPr>
                <w:rFonts w:ascii="Arial" w:hAnsi="Arial" w:cs="Arial"/>
                <w:color w:val="231F20"/>
                <w:sz w:val="24"/>
                <w:szCs w:val="24"/>
              </w:rPr>
              <w:t>2008</w:t>
            </w:r>
          </w:p>
        </w:tc>
        <w:tc>
          <w:tcPr>
            <w:tcW w:w="2905" w:type="dxa"/>
            <w:tcBorders>
              <w:top w:val="single" w:sz="4" w:space="0" w:color="231F20"/>
              <w:left w:val="single" w:sz="4" w:space="0" w:color="231F20"/>
              <w:bottom w:val="single" w:sz="4" w:space="0" w:color="231F20"/>
              <w:right w:val="single" w:sz="4" w:space="0" w:color="231F20"/>
            </w:tcBorders>
          </w:tcPr>
          <w:p w14:paraId="194560E8" w14:textId="77777777" w:rsidR="00392F7C" w:rsidRPr="00233709" w:rsidRDefault="00392F7C" w:rsidP="00233709">
            <w:pPr>
              <w:autoSpaceDE w:val="0"/>
              <w:autoSpaceDN w:val="0"/>
              <w:adjustRightInd w:val="0"/>
              <w:spacing w:before="84" w:after="0"/>
              <w:ind w:left="1109" w:right="1089"/>
              <w:jc w:val="center"/>
              <w:rPr>
                <w:rFonts w:ascii="Arial" w:hAnsi="Arial" w:cs="Arial"/>
                <w:sz w:val="24"/>
                <w:szCs w:val="24"/>
              </w:rPr>
            </w:pPr>
            <w:r w:rsidRPr="00233709">
              <w:rPr>
                <w:rFonts w:ascii="Arial" w:hAnsi="Arial" w:cs="Arial"/>
                <w:color w:val="231F20"/>
                <w:sz w:val="24"/>
                <w:szCs w:val="24"/>
              </w:rPr>
              <w:t>38.61</w:t>
            </w:r>
          </w:p>
        </w:tc>
        <w:tc>
          <w:tcPr>
            <w:tcW w:w="2193" w:type="dxa"/>
            <w:tcBorders>
              <w:top w:val="single" w:sz="4" w:space="0" w:color="231F20"/>
              <w:left w:val="single" w:sz="4" w:space="0" w:color="231F20"/>
              <w:bottom w:val="single" w:sz="4" w:space="0" w:color="231F20"/>
              <w:right w:val="nil"/>
            </w:tcBorders>
          </w:tcPr>
          <w:p w14:paraId="15A36A58" w14:textId="77777777" w:rsidR="00392F7C" w:rsidRPr="00233709" w:rsidRDefault="00392F7C" w:rsidP="00233709">
            <w:pPr>
              <w:autoSpaceDE w:val="0"/>
              <w:autoSpaceDN w:val="0"/>
              <w:adjustRightInd w:val="0"/>
              <w:spacing w:before="84" w:after="0"/>
              <w:ind w:left="1214" w:right="-20"/>
              <w:rPr>
                <w:rFonts w:ascii="Arial" w:hAnsi="Arial" w:cs="Arial"/>
                <w:sz w:val="24"/>
                <w:szCs w:val="24"/>
              </w:rPr>
            </w:pPr>
            <w:r w:rsidRPr="00233709">
              <w:rPr>
                <w:rFonts w:ascii="Arial" w:hAnsi="Arial" w:cs="Arial"/>
                <w:color w:val="231F20"/>
                <w:sz w:val="24"/>
                <w:szCs w:val="24"/>
              </w:rPr>
              <w:t>69.00</w:t>
            </w:r>
          </w:p>
        </w:tc>
      </w:tr>
      <w:tr w:rsidR="00392F7C" w:rsidRPr="00233709" w14:paraId="64F39368" w14:textId="77777777" w:rsidTr="00F800A3">
        <w:trPr>
          <w:trHeight w:hRule="exact" w:val="454"/>
        </w:trPr>
        <w:tc>
          <w:tcPr>
            <w:tcW w:w="957" w:type="dxa"/>
            <w:tcBorders>
              <w:top w:val="single" w:sz="4" w:space="0" w:color="231F20"/>
              <w:left w:val="nil"/>
              <w:bottom w:val="single" w:sz="4" w:space="0" w:color="231F20"/>
              <w:right w:val="single" w:sz="4" w:space="0" w:color="231F20"/>
            </w:tcBorders>
          </w:tcPr>
          <w:p w14:paraId="02D34315" w14:textId="77777777" w:rsidR="00392F7C" w:rsidRPr="00233709" w:rsidRDefault="00392F7C" w:rsidP="00233709">
            <w:pPr>
              <w:autoSpaceDE w:val="0"/>
              <w:autoSpaceDN w:val="0"/>
              <w:adjustRightInd w:val="0"/>
              <w:spacing w:before="84" w:after="0"/>
              <w:ind w:left="140" w:right="-20"/>
              <w:rPr>
                <w:rFonts w:ascii="Arial" w:hAnsi="Arial" w:cs="Arial"/>
                <w:sz w:val="24"/>
                <w:szCs w:val="24"/>
              </w:rPr>
            </w:pPr>
            <w:r w:rsidRPr="00233709">
              <w:rPr>
                <w:rFonts w:ascii="Arial" w:hAnsi="Arial" w:cs="Arial"/>
                <w:color w:val="231F20"/>
                <w:sz w:val="24"/>
                <w:szCs w:val="24"/>
              </w:rPr>
              <w:t>2009</w:t>
            </w:r>
          </w:p>
        </w:tc>
        <w:tc>
          <w:tcPr>
            <w:tcW w:w="2905" w:type="dxa"/>
            <w:tcBorders>
              <w:top w:val="single" w:sz="4" w:space="0" w:color="231F20"/>
              <w:left w:val="single" w:sz="4" w:space="0" w:color="231F20"/>
              <w:bottom w:val="single" w:sz="4" w:space="0" w:color="231F20"/>
              <w:right w:val="single" w:sz="4" w:space="0" w:color="231F20"/>
            </w:tcBorders>
          </w:tcPr>
          <w:p w14:paraId="7DC134AC" w14:textId="77777777" w:rsidR="00392F7C" w:rsidRPr="00233709" w:rsidRDefault="00392F7C" w:rsidP="00233709">
            <w:pPr>
              <w:autoSpaceDE w:val="0"/>
              <w:autoSpaceDN w:val="0"/>
              <w:adjustRightInd w:val="0"/>
              <w:spacing w:before="84" w:after="0"/>
              <w:ind w:left="1109" w:right="1089"/>
              <w:jc w:val="center"/>
              <w:rPr>
                <w:rFonts w:ascii="Arial" w:hAnsi="Arial" w:cs="Arial"/>
                <w:sz w:val="24"/>
                <w:szCs w:val="24"/>
              </w:rPr>
            </w:pPr>
            <w:r w:rsidRPr="00233709">
              <w:rPr>
                <w:rFonts w:ascii="Arial" w:hAnsi="Arial" w:cs="Arial"/>
                <w:color w:val="231F20"/>
                <w:sz w:val="24"/>
                <w:szCs w:val="24"/>
              </w:rPr>
              <w:t>52.98</w:t>
            </w:r>
          </w:p>
        </w:tc>
        <w:tc>
          <w:tcPr>
            <w:tcW w:w="2193" w:type="dxa"/>
            <w:tcBorders>
              <w:top w:val="single" w:sz="4" w:space="0" w:color="231F20"/>
              <w:left w:val="single" w:sz="4" w:space="0" w:color="231F20"/>
              <w:bottom w:val="single" w:sz="4" w:space="0" w:color="231F20"/>
              <w:right w:val="nil"/>
            </w:tcBorders>
          </w:tcPr>
          <w:p w14:paraId="780EA597" w14:textId="77777777" w:rsidR="00392F7C" w:rsidRPr="00233709" w:rsidRDefault="00392F7C" w:rsidP="00233709">
            <w:pPr>
              <w:autoSpaceDE w:val="0"/>
              <w:autoSpaceDN w:val="0"/>
              <w:adjustRightInd w:val="0"/>
              <w:spacing w:before="84" w:after="0"/>
              <w:ind w:left="1081" w:right="-20"/>
              <w:rPr>
                <w:rFonts w:ascii="Arial" w:hAnsi="Arial" w:cs="Arial"/>
                <w:sz w:val="24"/>
                <w:szCs w:val="24"/>
              </w:rPr>
            </w:pPr>
            <w:r w:rsidRPr="00233709">
              <w:rPr>
                <w:rFonts w:ascii="Arial" w:hAnsi="Arial" w:cs="Arial"/>
                <w:color w:val="231F20"/>
                <w:sz w:val="24"/>
                <w:szCs w:val="24"/>
              </w:rPr>
              <w:t>156.21</w:t>
            </w:r>
          </w:p>
        </w:tc>
      </w:tr>
      <w:tr w:rsidR="00392F7C" w:rsidRPr="00233709" w14:paraId="36EE0ADD" w14:textId="77777777" w:rsidTr="00F800A3">
        <w:trPr>
          <w:trHeight w:hRule="exact" w:val="454"/>
        </w:trPr>
        <w:tc>
          <w:tcPr>
            <w:tcW w:w="957" w:type="dxa"/>
            <w:tcBorders>
              <w:top w:val="single" w:sz="4" w:space="0" w:color="231F20"/>
              <w:left w:val="nil"/>
              <w:bottom w:val="single" w:sz="4" w:space="0" w:color="231F20"/>
              <w:right w:val="single" w:sz="4" w:space="0" w:color="231F20"/>
            </w:tcBorders>
          </w:tcPr>
          <w:p w14:paraId="6F6AD8DE" w14:textId="77777777" w:rsidR="00392F7C" w:rsidRPr="00233709" w:rsidRDefault="00392F7C" w:rsidP="00233709">
            <w:pPr>
              <w:autoSpaceDE w:val="0"/>
              <w:autoSpaceDN w:val="0"/>
              <w:adjustRightInd w:val="0"/>
              <w:spacing w:before="84" w:after="0"/>
              <w:ind w:left="140" w:right="-20"/>
              <w:rPr>
                <w:rFonts w:ascii="Arial" w:hAnsi="Arial" w:cs="Arial"/>
                <w:sz w:val="24"/>
                <w:szCs w:val="24"/>
              </w:rPr>
            </w:pPr>
            <w:r w:rsidRPr="00233709">
              <w:rPr>
                <w:rFonts w:ascii="Arial" w:hAnsi="Arial" w:cs="Arial"/>
                <w:color w:val="231F20"/>
                <w:sz w:val="24"/>
                <w:szCs w:val="24"/>
              </w:rPr>
              <w:t>2010</w:t>
            </w:r>
          </w:p>
        </w:tc>
        <w:tc>
          <w:tcPr>
            <w:tcW w:w="2905" w:type="dxa"/>
            <w:tcBorders>
              <w:top w:val="single" w:sz="4" w:space="0" w:color="231F20"/>
              <w:left w:val="single" w:sz="4" w:space="0" w:color="231F20"/>
              <w:bottom w:val="single" w:sz="4" w:space="0" w:color="231F20"/>
              <w:right w:val="single" w:sz="4" w:space="0" w:color="231F20"/>
            </w:tcBorders>
          </w:tcPr>
          <w:p w14:paraId="710E9F8D" w14:textId="77777777" w:rsidR="00392F7C" w:rsidRPr="00233709" w:rsidRDefault="00392F7C" w:rsidP="00233709">
            <w:pPr>
              <w:autoSpaceDE w:val="0"/>
              <w:autoSpaceDN w:val="0"/>
              <w:adjustRightInd w:val="0"/>
              <w:spacing w:before="84" w:after="0"/>
              <w:ind w:left="1109" w:right="1089"/>
              <w:jc w:val="center"/>
              <w:rPr>
                <w:rFonts w:ascii="Arial" w:hAnsi="Arial" w:cs="Arial"/>
                <w:sz w:val="24"/>
                <w:szCs w:val="24"/>
              </w:rPr>
            </w:pPr>
            <w:r w:rsidRPr="00233709">
              <w:rPr>
                <w:rFonts w:ascii="Arial" w:hAnsi="Arial" w:cs="Arial"/>
                <w:color w:val="231F20"/>
                <w:sz w:val="24"/>
                <w:szCs w:val="24"/>
              </w:rPr>
              <w:t>40.12</w:t>
            </w:r>
          </w:p>
        </w:tc>
        <w:tc>
          <w:tcPr>
            <w:tcW w:w="2193" w:type="dxa"/>
            <w:tcBorders>
              <w:top w:val="single" w:sz="4" w:space="0" w:color="231F20"/>
              <w:left w:val="single" w:sz="4" w:space="0" w:color="231F20"/>
              <w:bottom w:val="single" w:sz="4" w:space="0" w:color="231F20"/>
              <w:right w:val="nil"/>
            </w:tcBorders>
          </w:tcPr>
          <w:p w14:paraId="590BDB6F" w14:textId="77777777" w:rsidR="00392F7C" w:rsidRPr="00233709" w:rsidRDefault="00392F7C" w:rsidP="00233709">
            <w:pPr>
              <w:autoSpaceDE w:val="0"/>
              <w:autoSpaceDN w:val="0"/>
              <w:adjustRightInd w:val="0"/>
              <w:spacing w:before="84" w:after="0"/>
              <w:ind w:left="1081" w:right="-20"/>
              <w:rPr>
                <w:rFonts w:ascii="Arial" w:hAnsi="Arial" w:cs="Arial"/>
                <w:sz w:val="24"/>
                <w:szCs w:val="24"/>
              </w:rPr>
            </w:pPr>
            <w:r w:rsidRPr="00233709">
              <w:rPr>
                <w:rFonts w:ascii="Arial" w:hAnsi="Arial" w:cs="Arial"/>
                <w:color w:val="231F20"/>
                <w:sz w:val="24"/>
                <w:szCs w:val="24"/>
              </w:rPr>
              <w:t>149.21</w:t>
            </w:r>
          </w:p>
        </w:tc>
      </w:tr>
      <w:tr w:rsidR="00392F7C" w:rsidRPr="00233709" w14:paraId="0EE5F484" w14:textId="77777777" w:rsidTr="00F800A3">
        <w:trPr>
          <w:trHeight w:hRule="exact" w:val="454"/>
        </w:trPr>
        <w:tc>
          <w:tcPr>
            <w:tcW w:w="957" w:type="dxa"/>
            <w:tcBorders>
              <w:top w:val="single" w:sz="4" w:space="0" w:color="231F20"/>
              <w:left w:val="nil"/>
              <w:bottom w:val="single" w:sz="4" w:space="0" w:color="231F20"/>
              <w:right w:val="single" w:sz="4" w:space="0" w:color="231F20"/>
            </w:tcBorders>
          </w:tcPr>
          <w:p w14:paraId="65239C72" w14:textId="77777777" w:rsidR="00392F7C" w:rsidRPr="00233709" w:rsidRDefault="00392F7C" w:rsidP="00233709">
            <w:pPr>
              <w:autoSpaceDE w:val="0"/>
              <w:autoSpaceDN w:val="0"/>
              <w:adjustRightInd w:val="0"/>
              <w:spacing w:before="84" w:after="0"/>
              <w:ind w:left="149" w:right="-20"/>
              <w:rPr>
                <w:rFonts w:ascii="Arial" w:hAnsi="Arial" w:cs="Arial"/>
                <w:sz w:val="24"/>
                <w:szCs w:val="24"/>
              </w:rPr>
            </w:pPr>
            <w:r w:rsidRPr="00233709">
              <w:rPr>
                <w:rFonts w:ascii="Arial" w:hAnsi="Arial" w:cs="Arial"/>
                <w:color w:val="231F20"/>
                <w:sz w:val="24"/>
                <w:szCs w:val="24"/>
              </w:rPr>
              <w:t>20</w:t>
            </w:r>
            <w:r w:rsidRPr="00233709">
              <w:rPr>
                <w:rFonts w:ascii="Arial" w:hAnsi="Arial" w:cs="Arial"/>
                <w:color w:val="231F20"/>
                <w:spacing w:val="-18"/>
                <w:sz w:val="24"/>
                <w:szCs w:val="24"/>
              </w:rPr>
              <w:t>1</w:t>
            </w:r>
            <w:r w:rsidRPr="00233709">
              <w:rPr>
                <w:rFonts w:ascii="Arial" w:hAnsi="Arial" w:cs="Arial"/>
                <w:color w:val="231F20"/>
                <w:sz w:val="24"/>
                <w:szCs w:val="24"/>
              </w:rPr>
              <w:t>1</w:t>
            </w:r>
          </w:p>
        </w:tc>
        <w:tc>
          <w:tcPr>
            <w:tcW w:w="2905" w:type="dxa"/>
            <w:tcBorders>
              <w:top w:val="single" w:sz="4" w:space="0" w:color="231F20"/>
              <w:left w:val="single" w:sz="4" w:space="0" w:color="231F20"/>
              <w:bottom w:val="single" w:sz="4" w:space="0" w:color="231F20"/>
              <w:right w:val="single" w:sz="4" w:space="0" w:color="231F20"/>
            </w:tcBorders>
          </w:tcPr>
          <w:p w14:paraId="2235AB4A" w14:textId="77777777" w:rsidR="00392F7C" w:rsidRPr="00233709" w:rsidRDefault="00392F7C" w:rsidP="00233709">
            <w:pPr>
              <w:autoSpaceDE w:val="0"/>
              <w:autoSpaceDN w:val="0"/>
              <w:adjustRightInd w:val="0"/>
              <w:spacing w:before="84" w:after="0"/>
              <w:ind w:left="1109" w:right="1089"/>
              <w:jc w:val="center"/>
              <w:rPr>
                <w:rFonts w:ascii="Arial" w:hAnsi="Arial" w:cs="Arial"/>
                <w:sz w:val="24"/>
                <w:szCs w:val="24"/>
              </w:rPr>
            </w:pPr>
            <w:r w:rsidRPr="00233709">
              <w:rPr>
                <w:rFonts w:ascii="Arial" w:hAnsi="Arial" w:cs="Arial"/>
                <w:color w:val="231F20"/>
                <w:sz w:val="24"/>
                <w:szCs w:val="24"/>
              </w:rPr>
              <w:t>28.96</w:t>
            </w:r>
          </w:p>
        </w:tc>
        <w:tc>
          <w:tcPr>
            <w:tcW w:w="2193" w:type="dxa"/>
            <w:tcBorders>
              <w:top w:val="single" w:sz="4" w:space="0" w:color="231F20"/>
              <w:left w:val="single" w:sz="4" w:space="0" w:color="231F20"/>
              <w:bottom w:val="single" w:sz="4" w:space="0" w:color="231F20"/>
              <w:right w:val="nil"/>
            </w:tcBorders>
          </w:tcPr>
          <w:p w14:paraId="7FF9029B" w14:textId="77777777" w:rsidR="00392F7C" w:rsidRPr="00233709" w:rsidRDefault="00392F7C" w:rsidP="00233709">
            <w:pPr>
              <w:autoSpaceDE w:val="0"/>
              <w:autoSpaceDN w:val="0"/>
              <w:adjustRightInd w:val="0"/>
              <w:spacing w:before="84" w:after="0"/>
              <w:ind w:left="1081" w:right="-20"/>
              <w:rPr>
                <w:rFonts w:ascii="Arial" w:hAnsi="Arial" w:cs="Arial"/>
                <w:sz w:val="24"/>
                <w:szCs w:val="24"/>
              </w:rPr>
            </w:pPr>
            <w:r w:rsidRPr="00233709">
              <w:rPr>
                <w:rFonts w:ascii="Arial" w:hAnsi="Arial" w:cs="Arial"/>
                <w:color w:val="231F20"/>
                <w:sz w:val="24"/>
                <w:szCs w:val="24"/>
              </w:rPr>
              <w:t>121.04</w:t>
            </w:r>
          </w:p>
        </w:tc>
      </w:tr>
    </w:tbl>
    <w:p w14:paraId="26E21757" w14:textId="77777777" w:rsidR="00392F7C" w:rsidRPr="00233709" w:rsidRDefault="00392F7C" w:rsidP="00233709">
      <w:pPr>
        <w:autoSpaceDE w:val="0"/>
        <w:autoSpaceDN w:val="0"/>
        <w:adjustRightInd w:val="0"/>
        <w:spacing w:after="0"/>
        <w:rPr>
          <w:rFonts w:ascii="Arial" w:hAnsi="Arial" w:cs="Arial"/>
          <w:sz w:val="24"/>
          <w:szCs w:val="24"/>
        </w:rPr>
      </w:pPr>
    </w:p>
    <w:p w14:paraId="4AA61E9A" w14:textId="77777777" w:rsidR="00392F7C" w:rsidRPr="00233709" w:rsidRDefault="00392F7C" w:rsidP="00233709">
      <w:pPr>
        <w:autoSpaceDE w:val="0"/>
        <w:autoSpaceDN w:val="0"/>
        <w:adjustRightInd w:val="0"/>
        <w:spacing w:after="0"/>
        <w:rPr>
          <w:rFonts w:ascii="Arial" w:hAnsi="Arial" w:cs="Arial"/>
          <w:sz w:val="24"/>
          <w:szCs w:val="24"/>
        </w:rPr>
      </w:pPr>
      <w:r w:rsidRPr="00233709">
        <w:rPr>
          <w:rFonts w:ascii="Arial" w:hAnsi="Arial" w:cs="Arial"/>
          <w:sz w:val="24"/>
          <w:szCs w:val="24"/>
        </w:rPr>
        <w:t>Source: official statistics, September 2012</w:t>
      </w:r>
    </w:p>
    <w:p w14:paraId="61F0C40C" w14:textId="77777777" w:rsidR="00392F7C" w:rsidRPr="00233709" w:rsidRDefault="00392F7C" w:rsidP="00233709">
      <w:pPr>
        <w:autoSpaceDE w:val="0"/>
        <w:autoSpaceDN w:val="0"/>
        <w:adjustRightInd w:val="0"/>
        <w:spacing w:after="0"/>
        <w:rPr>
          <w:rFonts w:ascii="Arial" w:hAnsi="Arial" w:cs="Arial"/>
          <w:sz w:val="24"/>
          <w:szCs w:val="24"/>
        </w:rPr>
      </w:pPr>
    </w:p>
    <w:p w14:paraId="6C9DF2D9" w14:textId="77777777" w:rsidR="00392F7C" w:rsidRPr="00233709" w:rsidRDefault="00392F7C" w:rsidP="00233709">
      <w:pPr>
        <w:autoSpaceDE w:val="0"/>
        <w:autoSpaceDN w:val="0"/>
        <w:adjustRightInd w:val="0"/>
        <w:spacing w:after="0"/>
        <w:rPr>
          <w:rFonts w:ascii="Arial" w:hAnsi="Arial" w:cs="Arial"/>
          <w:b/>
          <w:bCs/>
          <w:sz w:val="24"/>
          <w:szCs w:val="24"/>
        </w:rPr>
      </w:pPr>
      <w:r w:rsidRPr="00233709">
        <w:rPr>
          <w:rFonts w:ascii="Arial" w:hAnsi="Arial" w:cs="Arial"/>
          <w:b/>
          <w:bCs/>
          <w:sz w:val="24"/>
          <w:szCs w:val="24"/>
        </w:rPr>
        <w:t>Extract B: Business leaders call for measures to boost growth</w:t>
      </w:r>
    </w:p>
    <w:p w14:paraId="027A5DA8" w14:textId="77777777" w:rsidR="00392F7C" w:rsidRPr="00233709" w:rsidRDefault="00392F7C" w:rsidP="00233709">
      <w:pPr>
        <w:autoSpaceDE w:val="0"/>
        <w:autoSpaceDN w:val="0"/>
        <w:adjustRightInd w:val="0"/>
        <w:spacing w:after="0"/>
        <w:rPr>
          <w:rFonts w:ascii="Arial" w:hAnsi="Arial" w:cs="Arial"/>
          <w:b/>
          <w:bCs/>
          <w:sz w:val="24"/>
          <w:szCs w:val="24"/>
        </w:rPr>
      </w:pPr>
    </w:p>
    <w:p w14:paraId="2B679C05" w14:textId="77777777" w:rsidR="00392F7C" w:rsidRPr="00233709" w:rsidRDefault="00392F7C" w:rsidP="00233709">
      <w:pPr>
        <w:autoSpaceDE w:val="0"/>
        <w:autoSpaceDN w:val="0"/>
        <w:adjustRightInd w:val="0"/>
        <w:spacing w:after="0"/>
        <w:rPr>
          <w:rFonts w:ascii="Arial" w:hAnsi="Arial" w:cs="Arial"/>
          <w:sz w:val="24"/>
          <w:szCs w:val="24"/>
        </w:rPr>
      </w:pPr>
      <w:r w:rsidRPr="00233709">
        <w:rPr>
          <w:rFonts w:ascii="Arial" w:hAnsi="Arial" w:cs="Arial"/>
          <w:sz w:val="24"/>
          <w:szCs w:val="24"/>
        </w:rPr>
        <w:t>Britain’s economy has suffered a period of unimpressive growth since the depths of the recession in 2008 and 2009. In 2011, the growth in real GDP was just 0.7% and official estimates for the second quarter of 2012 show a contraction in GDP of 0.5%, a third consecutive quarterly decline. The Government blames external shocks, such as the ongoing crisis in the eurozone</w:t>
      </w:r>
      <w:r w:rsidRPr="00233709">
        <w:rPr>
          <w:rFonts w:ascii="Arial" w:hAnsi="Arial" w:cs="Arial"/>
          <w:sz w:val="24"/>
          <w:szCs w:val="24"/>
          <w:vertAlign w:val="superscript"/>
        </w:rPr>
        <w:t>1</w:t>
      </w:r>
      <w:r w:rsidRPr="00233709">
        <w:rPr>
          <w:rFonts w:ascii="Arial" w:hAnsi="Arial" w:cs="Arial"/>
          <w:sz w:val="24"/>
          <w:szCs w:val="24"/>
        </w:rPr>
        <w:t>, and the slowdown in growth in America and China for the weak recovery of the UK economy. However, many believe that the UK Government’s austerity policy of reducing the budget deficit, by reducing government spending and increasing taxation, has meant that the recovery has been much weaker than necessary.</w:t>
      </w:r>
    </w:p>
    <w:p w14:paraId="40D9492E" w14:textId="77777777" w:rsidR="00392F7C" w:rsidRPr="00233709" w:rsidRDefault="00392F7C" w:rsidP="00233709">
      <w:pPr>
        <w:autoSpaceDE w:val="0"/>
        <w:autoSpaceDN w:val="0"/>
        <w:adjustRightInd w:val="0"/>
        <w:spacing w:after="0"/>
        <w:rPr>
          <w:rFonts w:ascii="Arial" w:hAnsi="Arial" w:cs="Arial"/>
          <w:sz w:val="24"/>
          <w:szCs w:val="24"/>
        </w:rPr>
      </w:pPr>
    </w:p>
    <w:p w14:paraId="6AD940A0" w14:textId="77777777" w:rsidR="00392F7C" w:rsidRPr="00233709" w:rsidRDefault="00392F7C" w:rsidP="00233709">
      <w:pPr>
        <w:autoSpaceDE w:val="0"/>
        <w:autoSpaceDN w:val="0"/>
        <w:adjustRightInd w:val="0"/>
        <w:spacing w:after="0"/>
        <w:rPr>
          <w:rFonts w:ascii="Arial" w:hAnsi="Arial" w:cs="Arial"/>
          <w:sz w:val="24"/>
          <w:szCs w:val="24"/>
        </w:rPr>
      </w:pPr>
      <w:r w:rsidRPr="00233709">
        <w:rPr>
          <w:rFonts w:ascii="Arial" w:hAnsi="Arial" w:cs="Arial"/>
          <w:sz w:val="24"/>
          <w:szCs w:val="24"/>
        </w:rPr>
        <w:t xml:space="preserve">Many business leaders want to see more measures to stimulate growth. They tend to support the policy of cutting the budget deficit </w:t>
      </w:r>
      <w:proofErr w:type="gramStart"/>
      <w:r w:rsidRPr="00233709">
        <w:rPr>
          <w:rFonts w:ascii="Arial" w:hAnsi="Arial" w:cs="Arial"/>
          <w:sz w:val="24"/>
          <w:szCs w:val="24"/>
        </w:rPr>
        <w:t>in order to</w:t>
      </w:r>
      <w:proofErr w:type="gramEnd"/>
      <w:r w:rsidRPr="00233709">
        <w:rPr>
          <w:rFonts w:ascii="Arial" w:hAnsi="Arial" w:cs="Arial"/>
          <w:sz w:val="24"/>
          <w:szCs w:val="24"/>
        </w:rPr>
        <w:t xml:space="preserve"> reduce borrowing by the public sector, but they also argue for investment in infrastructure (such as building new roads and rail networks) to reduce costs, increase productive capacity, create jobs and improve Britain’s long-term competitiveness.</w:t>
      </w:r>
    </w:p>
    <w:p w14:paraId="2B912EF1" w14:textId="77777777" w:rsidR="00392F7C" w:rsidRPr="00233709" w:rsidRDefault="00392F7C" w:rsidP="00233709">
      <w:pPr>
        <w:autoSpaceDE w:val="0"/>
        <w:autoSpaceDN w:val="0"/>
        <w:adjustRightInd w:val="0"/>
        <w:spacing w:after="0"/>
        <w:rPr>
          <w:rFonts w:ascii="Arial" w:hAnsi="Arial" w:cs="Arial"/>
          <w:sz w:val="24"/>
          <w:szCs w:val="24"/>
        </w:rPr>
      </w:pPr>
      <w:r w:rsidRPr="00233709">
        <w:rPr>
          <w:rFonts w:ascii="Arial" w:hAnsi="Arial" w:cs="Arial"/>
          <w:sz w:val="24"/>
          <w:szCs w:val="24"/>
        </w:rPr>
        <w:t>Source: news reports, September 2012</w:t>
      </w:r>
    </w:p>
    <w:p w14:paraId="7BC28DEB" w14:textId="77777777" w:rsidR="00392F7C" w:rsidRPr="00233709" w:rsidRDefault="00392F7C" w:rsidP="00233709">
      <w:pPr>
        <w:autoSpaceDE w:val="0"/>
        <w:autoSpaceDN w:val="0"/>
        <w:adjustRightInd w:val="0"/>
        <w:spacing w:after="0"/>
        <w:rPr>
          <w:rFonts w:ascii="Arial" w:hAnsi="Arial" w:cs="Arial"/>
          <w:sz w:val="24"/>
          <w:szCs w:val="24"/>
        </w:rPr>
      </w:pPr>
    </w:p>
    <w:p w14:paraId="3699BF87" w14:textId="77777777" w:rsidR="00233709" w:rsidRDefault="00392F7C" w:rsidP="00233709">
      <w:pPr>
        <w:rPr>
          <w:rFonts w:ascii="Arial" w:hAnsi="Arial" w:cs="Arial"/>
          <w:sz w:val="24"/>
          <w:szCs w:val="24"/>
        </w:rPr>
      </w:pPr>
      <w:r w:rsidRPr="00233709">
        <w:rPr>
          <w:rFonts w:ascii="Arial" w:hAnsi="Arial" w:cs="Arial"/>
          <w:b/>
          <w:bCs/>
          <w:sz w:val="24"/>
          <w:szCs w:val="24"/>
        </w:rPr>
        <w:t xml:space="preserve">Note 1 </w:t>
      </w:r>
      <w:r w:rsidRPr="00233709">
        <w:rPr>
          <w:rFonts w:ascii="Arial" w:hAnsi="Arial" w:cs="Arial"/>
          <w:sz w:val="24"/>
          <w:szCs w:val="24"/>
        </w:rPr>
        <w:t>The eurozone consists of those countries that have adopted the euro as their currency.</w:t>
      </w:r>
    </w:p>
    <w:p w14:paraId="3C1FEC17" w14:textId="568139F8" w:rsidR="00392F7C" w:rsidRPr="00233709" w:rsidRDefault="0022168E" w:rsidP="00233709">
      <w:pPr>
        <w:rPr>
          <w:rFonts w:ascii="Arial" w:hAnsi="Arial" w:cs="Arial"/>
          <w:sz w:val="24"/>
          <w:szCs w:val="24"/>
          <w:u w:val="single"/>
        </w:rPr>
      </w:pPr>
      <w:r w:rsidRPr="00233709">
        <w:rPr>
          <w:rFonts w:ascii="Arial" w:hAnsi="Arial" w:cs="Arial"/>
          <w:b/>
          <w:sz w:val="24"/>
          <w:szCs w:val="24"/>
          <w:u w:val="single"/>
        </w:rPr>
        <w:lastRenderedPageBreak/>
        <w:t>Numeracy Questions</w:t>
      </w:r>
    </w:p>
    <w:p w14:paraId="2FB0F072" w14:textId="229C4B52" w:rsidR="0022168E" w:rsidRPr="00233709" w:rsidRDefault="0022168E" w:rsidP="00233709">
      <w:pPr>
        <w:pStyle w:val="ListParagraph"/>
        <w:numPr>
          <w:ilvl w:val="0"/>
          <w:numId w:val="1"/>
        </w:numPr>
        <w:rPr>
          <w:rFonts w:ascii="Arial" w:hAnsi="Arial" w:cs="Arial"/>
          <w:sz w:val="24"/>
          <w:szCs w:val="24"/>
        </w:rPr>
      </w:pPr>
      <w:r w:rsidRPr="00233709">
        <w:rPr>
          <w:rFonts w:ascii="Arial" w:hAnsi="Arial" w:cs="Arial"/>
          <w:sz w:val="24"/>
          <w:szCs w:val="24"/>
        </w:rPr>
        <w:t>In what year was public sector investment the highest?</w:t>
      </w:r>
    </w:p>
    <w:p w14:paraId="61024B79" w14:textId="77777777" w:rsidR="00233709" w:rsidRPr="00233709" w:rsidRDefault="00233709" w:rsidP="00233709">
      <w:pPr>
        <w:pStyle w:val="ListParagraph"/>
        <w:rPr>
          <w:rFonts w:ascii="Arial" w:hAnsi="Arial" w:cs="Arial"/>
          <w:sz w:val="24"/>
          <w:szCs w:val="24"/>
        </w:rPr>
      </w:pPr>
    </w:p>
    <w:p w14:paraId="320500D5" w14:textId="77777777" w:rsidR="00EC35D3" w:rsidRPr="00233709" w:rsidRDefault="00EC35D3" w:rsidP="00233709">
      <w:pPr>
        <w:pStyle w:val="ListParagraph"/>
        <w:rPr>
          <w:rFonts w:ascii="Arial" w:hAnsi="Arial" w:cs="Arial"/>
          <w:sz w:val="24"/>
          <w:szCs w:val="24"/>
        </w:rPr>
      </w:pPr>
      <w:r w:rsidRPr="00233709">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C8D9B7F" wp14:editId="5F93571D">
                <wp:simplePos x="0" y="0"/>
                <wp:positionH relativeFrom="column">
                  <wp:posOffset>476251</wp:posOffset>
                </wp:positionH>
                <wp:positionV relativeFrom="paragraph">
                  <wp:posOffset>11430</wp:posOffset>
                </wp:positionV>
                <wp:extent cx="1638300" cy="371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638300"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548B0" id="Rectangle 1" o:spid="_x0000_s1026" style="position:absolute;margin-left:37.5pt;margin-top:.9pt;width:129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" fillcolor="white [3212]" strokecolor="#1f3763 [1604]" strokeweight="1pt"/>
            </w:pict>
          </mc:Fallback>
        </mc:AlternateContent>
      </w:r>
    </w:p>
    <w:p w14:paraId="5B38A44B" w14:textId="77777777" w:rsidR="00233709" w:rsidRPr="00233709" w:rsidRDefault="00233709" w:rsidP="00233709">
      <w:pPr>
        <w:rPr>
          <w:rFonts w:ascii="Arial" w:hAnsi="Arial" w:cs="Arial"/>
          <w:sz w:val="24"/>
          <w:szCs w:val="24"/>
        </w:rPr>
      </w:pPr>
    </w:p>
    <w:p w14:paraId="16C0244D" w14:textId="67B30E4E" w:rsidR="0022168E" w:rsidRPr="00233709" w:rsidRDefault="0011259C" w:rsidP="00233709">
      <w:pPr>
        <w:pStyle w:val="ListParagraph"/>
        <w:numPr>
          <w:ilvl w:val="0"/>
          <w:numId w:val="1"/>
        </w:numPr>
        <w:rPr>
          <w:rFonts w:ascii="Arial" w:hAnsi="Arial" w:cs="Arial"/>
          <w:sz w:val="24"/>
          <w:szCs w:val="24"/>
        </w:rPr>
      </w:pPr>
      <w:r w:rsidRPr="00233709">
        <w:rPr>
          <w:rFonts w:ascii="Arial" w:hAnsi="Arial" w:cs="Arial"/>
          <w:sz w:val="24"/>
          <w:szCs w:val="24"/>
        </w:rPr>
        <w:t>What was the median public sector investment between 2003-2011</w:t>
      </w:r>
      <w:r w:rsidR="00D0075F" w:rsidRPr="00233709">
        <w:rPr>
          <w:rFonts w:ascii="Arial" w:hAnsi="Arial" w:cs="Arial"/>
          <w:sz w:val="24"/>
          <w:szCs w:val="24"/>
        </w:rPr>
        <w:t xml:space="preserve"> inclusive</w:t>
      </w:r>
      <w:r w:rsidRPr="00233709">
        <w:rPr>
          <w:rFonts w:ascii="Arial" w:hAnsi="Arial" w:cs="Arial"/>
          <w:sz w:val="24"/>
          <w:szCs w:val="24"/>
        </w:rPr>
        <w:t>?</w:t>
      </w:r>
    </w:p>
    <w:p w14:paraId="63A60A11" w14:textId="77777777" w:rsidR="00233709" w:rsidRPr="00233709" w:rsidRDefault="00233709" w:rsidP="00233709">
      <w:pPr>
        <w:pStyle w:val="ListParagraph"/>
        <w:rPr>
          <w:rFonts w:ascii="Arial" w:hAnsi="Arial" w:cs="Arial"/>
          <w:sz w:val="24"/>
          <w:szCs w:val="24"/>
        </w:rPr>
      </w:pPr>
    </w:p>
    <w:p w14:paraId="643D6D8B" w14:textId="77777777" w:rsidR="00EC35D3" w:rsidRPr="00233709" w:rsidRDefault="00EC35D3" w:rsidP="00233709">
      <w:pPr>
        <w:pStyle w:val="ListParagraph"/>
        <w:rPr>
          <w:rFonts w:ascii="Arial" w:hAnsi="Arial" w:cs="Arial"/>
          <w:sz w:val="24"/>
          <w:szCs w:val="24"/>
        </w:rPr>
      </w:pPr>
      <w:r w:rsidRPr="00233709">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281D6AB" wp14:editId="3A151D83">
                <wp:simplePos x="0" y="0"/>
                <wp:positionH relativeFrom="column">
                  <wp:posOffset>485775</wp:posOffset>
                </wp:positionH>
                <wp:positionV relativeFrom="paragraph">
                  <wp:posOffset>9525</wp:posOffset>
                </wp:positionV>
                <wp:extent cx="1638300" cy="371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638300"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AE1AF" id="Rectangle 2" o:spid="_x0000_s1026" style="position:absolute;margin-left:38.25pt;margin-top:.75pt;width:129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" fillcolor="white [3212]" strokecolor="#1f3763 [1604]" strokeweight="1pt"/>
            </w:pict>
          </mc:Fallback>
        </mc:AlternateContent>
      </w:r>
    </w:p>
    <w:p w14:paraId="23A069F4" w14:textId="77777777" w:rsidR="0022168E" w:rsidRPr="00233709" w:rsidRDefault="0022168E" w:rsidP="00233709">
      <w:pPr>
        <w:pStyle w:val="ListParagraph"/>
        <w:rPr>
          <w:rFonts w:ascii="Arial" w:hAnsi="Arial" w:cs="Arial"/>
          <w:sz w:val="24"/>
          <w:szCs w:val="24"/>
        </w:rPr>
      </w:pPr>
    </w:p>
    <w:p w14:paraId="3AE15ADE" w14:textId="77777777" w:rsidR="00233709" w:rsidRPr="00233709" w:rsidRDefault="00233709" w:rsidP="00233709">
      <w:pPr>
        <w:pStyle w:val="ListParagraph"/>
        <w:rPr>
          <w:rFonts w:ascii="Arial" w:hAnsi="Arial" w:cs="Arial"/>
          <w:sz w:val="24"/>
          <w:szCs w:val="24"/>
        </w:rPr>
      </w:pPr>
    </w:p>
    <w:p w14:paraId="5C0D842A" w14:textId="1B558523" w:rsidR="0022168E" w:rsidRPr="00233709" w:rsidRDefault="0022168E" w:rsidP="00233709">
      <w:pPr>
        <w:pStyle w:val="ListParagraph"/>
        <w:numPr>
          <w:ilvl w:val="0"/>
          <w:numId w:val="1"/>
        </w:numPr>
        <w:rPr>
          <w:rFonts w:ascii="Arial" w:hAnsi="Arial" w:cs="Arial"/>
          <w:sz w:val="24"/>
          <w:szCs w:val="24"/>
        </w:rPr>
      </w:pPr>
      <w:r w:rsidRPr="00233709">
        <w:rPr>
          <w:rFonts w:ascii="Arial" w:hAnsi="Arial" w:cs="Arial"/>
          <w:sz w:val="24"/>
          <w:szCs w:val="24"/>
        </w:rPr>
        <w:t>What was the total public sector investment between 2008 and 2011</w:t>
      </w:r>
      <w:r w:rsidR="00D0075F" w:rsidRPr="00233709">
        <w:rPr>
          <w:rFonts w:ascii="Arial" w:hAnsi="Arial" w:cs="Arial"/>
          <w:sz w:val="24"/>
          <w:szCs w:val="24"/>
        </w:rPr>
        <w:t xml:space="preserve"> inclusive</w:t>
      </w:r>
      <w:r w:rsidRPr="00233709">
        <w:rPr>
          <w:rFonts w:ascii="Arial" w:hAnsi="Arial" w:cs="Arial"/>
          <w:sz w:val="24"/>
          <w:szCs w:val="24"/>
        </w:rPr>
        <w:t>?</w:t>
      </w:r>
    </w:p>
    <w:p w14:paraId="0571A620" w14:textId="77777777" w:rsidR="00233709" w:rsidRPr="00233709" w:rsidRDefault="00233709" w:rsidP="00233709">
      <w:pPr>
        <w:pStyle w:val="ListParagraph"/>
        <w:rPr>
          <w:rFonts w:ascii="Arial" w:hAnsi="Arial" w:cs="Arial"/>
          <w:sz w:val="24"/>
          <w:szCs w:val="24"/>
        </w:rPr>
      </w:pPr>
    </w:p>
    <w:p w14:paraId="0D9426E3" w14:textId="77777777" w:rsidR="00EC35D3" w:rsidRPr="00233709" w:rsidRDefault="00EC35D3" w:rsidP="00233709">
      <w:pPr>
        <w:pStyle w:val="ListParagraph"/>
        <w:rPr>
          <w:rFonts w:ascii="Arial" w:hAnsi="Arial" w:cs="Arial"/>
          <w:sz w:val="24"/>
          <w:szCs w:val="24"/>
        </w:rPr>
      </w:pPr>
      <w:r w:rsidRPr="00233709">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5719F7B1" wp14:editId="1A40179F">
                <wp:simplePos x="0" y="0"/>
                <wp:positionH relativeFrom="column">
                  <wp:posOffset>485775</wp:posOffset>
                </wp:positionH>
                <wp:positionV relativeFrom="paragraph">
                  <wp:posOffset>9525</wp:posOffset>
                </wp:positionV>
                <wp:extent cx="1638300" cy="371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638300"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BCE10" id="Rectangle 3" o:spid="_x0000_s1026" style="position:absolute;margin-left:38.25pt;margin-top:.75pt;width:129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" fillcolor="white [3212]" strokecolor="#1f3763 [1604]" strokeweight="1pt"/>
            </w:pict>
          </mc:Fallback>
        </mc:AlternateContent>
      </w:r>
    </w:p>
    <w:p w14:paraId="14C730CD" w14:textId="77777777" w:rsidR="00233709" w:rsidRPr="00233709" w:rsidRDefault="00233709" w:rsidP="00233709">
      <w:pPr>
        <w:rPr>
          <w:rFonts w:ascii="Arial" w:hAnsi="Arial" w:cs="Arial"/>
          <w:sz w:val="24"/>
          <w:szCs w:val="24"/>
        </w:rPr>
      </w:pPr>
    </w:p>
    <w:p w14:paraId="4EE6D262" w14:textId="7267D79A" w:rsidR="0022168E" w:rsidRPr="00233709" w:rsidRDefault="0022168E" w:rsidP="00233709">
      <w:pPr>
        <w:pStyle w:val="ListParagraph"/>
        <w:numPr>
          <w:ilvl w:val="0"/>
          <w:numId w:val="1"/>
        </w:numPr>
        <w:rPr>
          <w:rFonts w:ascii="Arial" w:hAnsi="Arial" w:cs="Arial"/>
          <w:sz w:val="24"/>
          <w:szCs w:val="24"/>
        </w:rPr>
      </w:pPr>
      <w:r w:rsidRPr="00233709">
        <w:rPr>
          <w:rFonts w:ascii="Arial" w:hAnsi="Arial" w:cs="Arial"/>
          <w:sz w:val="24"/>
          <w:szCs w:val="24"/>
        </w:rPr>
        <w:t>What was the total public sector borrowing between 2008 and 2011</w:t>
      </w:r>
      <w:r w:rsidR="00D0075F" w:rsidRPr="00233709">
        <w:rPr>
          <w:rFonts w:ascii="Arial" w:hAnsi="Arial" w:cs="Arial"/>
          <w:sz w:val="24"/>
          <w:szCs w:val="24"/>
        </w:rPr>
        <w:t xml:space="preserve"> inclusive</w:t>
      </w:r>
      <w:r w:rsidRPr="00233709">
        <w:rPr>
          <w:rFonts w:ascii="Arial" w:hAnsi="Arial" w:cs="Arial"/>
          <w:sz w:val="24"/>
          <w:szCs w:val="24"/>
        </w:rPr>
        <w:t>?</w:t>
      </w:r>
    </w:p>
    <w:p w14:paraId="0ED049FC" w14:textId="77777777" w:rsidR="00233709" w:rsidRPr="00233709" w:rsidRDefault="00233709" w:rsidP="00233709">
      <w:pPr>
        <w:pStyle w:val="ListParagraph"/>
        <w:rPr>
          <w:rFonts w:ascii="Arial" w:hAnsi="Arial" w:cs="Arial"/>
          <w:sz w:val="24"/>
          <w:szCs w:val="24"/>
        </w:rPr>
      </w:pPr>
    </w:p>
    <w:p w14:paraId="0821E667" w14:textId="77777777" w:rsidR="00EC35D3" w:rsidRPr="00233709" w:rsidRDefault="00EC35D3" w:rsidP="00233709">
      <w:pPr>
        <w:pStyle w:val="ListParagraph"/>
        <w:rPr>
          <w:rFonts w:ascii="Arial" w:hAnsi="Arial" w:cs="Arial"/>
          <w:sz w:val="24"/>
          <w:szCs w:val="24"/>
        </w:rPr>
      </w:pPr>
      <w:r w:rsidRPr="00233709">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27D6EBD5" wp14:editId="7B21FF46">
                <wp:simplePos x="0" y="0"/>
                <wp:positionH relativeFrom="column">
                  <wp:posOffset>476250</wp:posOffset>
                </wp:positionH>
                <wp:positionV relativeFrom="paragraph">
                  <wp:posOffset>9525</wp:posOffset>
                </wp:positionV>
                <wp:extent cx="1638300" cy="371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638300"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4E4FE" id="Rectangle 4" o:spid="_x0000_s1026" style="position:absolute;margin-left:37.5pt;margin-top:.75pt;width:129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" fillcolor="white [3212]" strokecolor="#1f3763 [1604]" strokeweight="1pt"/>
            </w:pict>
          </mc:Fallback>
        </mc:AlternateContent>
      </w:r>
    </w:p>
    <w:p w14:paraId="1790A702" w14:textId="2C824943" w:rsidR="0022168E" w:rsidRPr="00233709" w:rsidRDefault="0022168E" w:rsidP="00233709">
      <w:pPr>
        <w:pStyle w:val="ListParagraph"/>
        <w:rPr>
          <w:rFonts w:ascii="Arial" w:hAnsi="Arial" w:cs="Arial"/>
          <w:sz w:val="24"/>
          <w:szCs w:val="24"/>
        </w:rPr>
      </w:pPr>
    </w:p>
    <w:p w14:paraId="1D4161FD" w14:textId="77777777" w:rsidR="00233709" w:rsidRPr="00233709" w:rsidRDefault="00233709" w:rsidP="00233709">
      <w:pPr>
        <w:pStyle w:val="ListParagraph"/>
        <w:rPr>
          <w:rFonts w:ascii="Arial" w:hAnsi="Arial" w:cs="Arial"/>
          <w:sz w:val="24"/>
          <w:szCs w:val="24"/>
        </w:rPr>
      </w:pPr>
    </w:p>
    <w:p w14:paraId="1DC1627D" w14:textId="16809DAC" w:rsidR="00233709" w:rsidRPr="00233709" w:rsidRDefault="0022168E" w:rsidP="00233709">
      <w:pPr>
        <w:pStyle w:val="ListParagraph"/>
        <w:numPr>
          <w:ilvl w:val="0"/>
          <w:numId w:val="1"/>
        </w:numPr>
        <w:rPr>
          <w:rFonts w:ascii="Arial" w:hAnsi="Arial" w:cs="Arial"/>
          <w:sz w:val="24"/>
          <w:szCs w:val="24"/>
        </w:rPr>
      </w:pPr>
      <w:r w:rsidRPr="00233709">
        <w:rPr>
          <w:rFonts w:ascii="Arial" w:hAnsi="Arial" w:cs="Arial"/>
          <w:sz w:val="24"/>
          <w:szCs w:val="24"/>
        </w:rPr>
        <w:t>What was the difference between public sector investment and borrowing between 2008 and 2011</w:t>
      </w:r>
      <w:r w:rsidR="00D0075F" w:rsidRPr="00233709">
        <w:rPr>
          <w:rFonts w:ascii="Arial" w:hAnsi="Arial" w:cs="Arial"/>
          <w:sz w:val="24"/>
          <w:szCs w:val="24"/>
        </w:rPr>
        <w:t xml:space="preserve"> inclusive</w:t>
      </w:r>
      <w:r w:rsidRPr="00233709">
        <w:rPr>
          <w:rFonts w:ascii="Arial" w:hAnsi="Arial" w:cs="Arial"/>
          <w:sz w:val="24"/>
          <w:szCs w:val="24"/>
        </w:rPr>
        <w:t>?</w:t>
      </w:r>
    </w:p>
    <w:p w14:paraId="4094E81B" w14:textId="77777777" w:rsidR="00EC35D3" w:rsidRPr="00233709" w:rsidRDefault="00EC35D3" w:rsidP="00233709">
      <w:pPr>
        <w:rPr>
          <w:rFonts w:ascii="Arial" w:hAnsi="Arial" w:cs="Arial"/>
          <w:sz w:val="24"/>
          <w:szCs w:val="24"/>
        </w:rPr>
      </w:pPr>
      <w:r w:rsidRPr="00233709">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24B29C5" wp14:editId="788E68D1">
                <wp:simplePos x="0" y="0"/>
                <wp:positionH relativeFrom="column">
                  <wp:posOffset>485775</wp:posOffset>
                </wp:positionH>
                <wp:positionV relativeFrom="paragraph">
                  <wp:posOffset>8890</wp:posOffset>
                </wp:positionV>
                <wp:extent cx="1638300" cy="371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638300"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96D4F" id="Rectangle 5" o:spid="_x0000_s1026" style="position:absolute;margin-left:38.25pt;margin-top:.7pt;width:129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" fillcolor="white [3212]" strokecolor="#1f3763 [1604]" strokeweight="1pt"/>
            </w:pict>
          </mc:Fallback>
        </mc:AlternateContent>
      </w:r>
    </w:p>
    <w:p w14:paraId="520D81A5" w14:textId="77777777" w:rsidR="00233709" w:rsidRPr="00233709" w:rsidRDefault="00233709" w:rsidP="00233709">
      <w:pPr>
        <w:rPr>
          <w:rFonts w:ascii="Arial" w:hAnsi="Arial" w:cs="Arial"/>
          <w:sz w:val="24"/>
          <w:szCs w:val="24"/>
        </w:rPr>
      </w:pPr>
    </w:p>
    <w:p w14:paraId="30D1CFF3" w14:textId="6B3380BD" w:rsidR="0022168E" w:rsidRPr="00233709" w:rsidRDefault="0022168E" w:rsidP="00233709">
      <w:pPr>
        <w:pStyle w:val="ListParagraph"/>
        <w:numPr>
          <w:ilvl w:val="0"/>
          <w:numId w:val="1"/>
        </w:numPr>
        <w:rPr>
          <w:rFonts w:ascii="Arial" w:hAnsi="Arial" w:cs="Arial"/>
          <w:sz w:val="24"/>
          <w:szCs w:val="24"/>
        </w:rPr>
      </w:pPr>
      <w:r w:rsidRPr="00233709">
        <w:rPr>
          <w:rFonts w:ascii="Arial" w:hAnsi="Arial" w:cs="Arial"/>
          <w:sz w:val="24"/>
          <w:szCs w:val="24"/>
        </w:rPr>
        <w:t xml:space="preserve">What was the mean public sector investment between 2003 and 2007 </w:t>
      </w:r>
      <w:r w:rsidR="00D0075F" w:rsidRPr="00233709">
        <w:rPr>
          <w:rFonts w:ascii="Arial" w:hAnsi="Arial" w:cs="Arial"/>
          <w:sz w:val="24"/>
          <w:szCs w:val="24"/>
        </w:rPr>
        <w:t xml:space="preserve">inclusive </w:t>
      </w:r>
      <w:r w:rsidRPr="00233709">
        <w:rPr>
          <w:rFonts w:ascii="Arial" w:hAnsi="Arial" w:cs="Arial"/>
          <w:sz w:val="24"/>
          <w:szCs w:val="24"/>
        </w:rPr>
        <w:t>(to 1 decimal place)?</w:t>
      </w:r>
    </w:p>
    <w:p w14:paraId="31DEBEC8" w14:textId="77777777" w:rsidR="00233709" w:rsidRPr="00233709" w:rsidRDefault="00233709" w:rsidP="00233709">
      <w:pPr>
        <w:pStyle w:val="ListParagraph"/>
        <w:rPr>
          <w:rFonts w:ascii="Arial" w:hAnsi="Arial" w:cs="Arial"/>
          <w:sz w:val="24"/>
          <w:szCs w:val="24"/>
        </w:rPr>
      </w:pPr>
    </w:p>
    <w:p w14:paraId="7C23655B" w14:textId="77777777" w:rsidR="00EC35D3" w:rsidRPr="00233709" w:rsidRDefault="00D0075F" w:rsidP="00233709">
      <w:pPr>
        <w:pStyle w:val="ListParagraph"/>
        <w:rPr>
          <w:rFonts w:ascii="Arial" w:hAnsi="Arial" w:cs="Arial"/>
          <w:sz w:val="24"/>
          <w:szCs w:val="24"/>
        </w:rPr>
      </w:pPr>
      <w:r w:rsidRPr="00233709">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0A581C9B" wp14:editId="714E1164">
                <wp:simplePos x="0" y="0"/>
                <wp:positionH relativeFrom="column">
                  <wp:posOffset>465789</wp:posOffset>
                </wp:positionH>
                <wp:positionV relativeFrom="paragraph">
                  <wp:posOffset>3810</wp:posOffset>
                </wp:positionV>
                <wp:extent cx="1638300" cy="3714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638300"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A589B" id="Rectangle 6" o:spid="_x0000_s1026" style="position:absolute;margin-left:36.7pt;margin-top:.3pt;width:129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" fillcolor="white [3212]" strokecolor="#1f3763 [1604]" strokeweight="1pt"/>
            </w:pict>
          </mc:Fallback>
        </mc:AlternateContent>
      </w:r>
    </w:p>
    <w:p w14:paraId="74F44A38" w14:textId="4949DCB1" w:rsidR="0022168E" w:rsidRPr="00233709" w:rsidRDefault="0022168E" w:rsidP="00233709">
      <w:pPr>
        <w:pStyle w:val="ListParagraph"/>
        <w:rPr>
          <w:rFonts w:ascii="Arial" w:hAnsi="Arial" w:cs="Arial"/>
          <w:sz w:val="24"/>
          <w:szCs w:val="24"/>
        </w:rPr>
      </w:pPr>
    </w:p>
    <w:p w14:paraId="31A44A91" w14:textId="77777777" w:rsidR="00233709" w:rsidRPr="00233709" w:rsidRDefault="00233709" w:rsidP="00233709">
      <w:pPr>
        <w:pStyle w:val="ListParagraph"/>
        <w:rPr>
          <w:rFonts w:ascii="Arial" w:hAnsi="Arial" w:cs="Arial"/>
          <w:sz w:val="24"/>
          <w:szCs w:val="24"/>
        </w:rPr>
      </w:pPr>
    </w:p>
    <w:p w14:paraId="5AD0316A" w14:textId="06CD7578" w:rsidR="0022168E" w:rsidRPr="00233709" w:rsidRDefault="00EC35D3" w:rsidP="00233709">
      <w:pPr>
        <w:pStyle w:val="ListParagraph"/>
        <w:numPr>
          <w:ilvl w:val="0"/>
          <w:numId w:val="1"/>
        </w:numPr>
        <w:rPr>
          <w:rFonts w:ascii="Arial" w:hAnsi="Arial" w:cs="Arial"/>
          <w:sz w:val="24"/>
          <w:szCs w:val="24"/>
        </w:rPr>
      </w:pPr>
      <w:r w:rsidRPr="00233709">
        <w:rPr>
          <w:rFonts w:ascii="Arial" w:hAnsi="Arial" w:cs="Arial"/>
          <w:sz w:val="24"/>
          <w:szCs w:val="24"/>
        </w:rPr>
        <w:t>In which year was there the greatest difference between investment and borrowing?</w:t>
      </w:r>
    </w:p>
    <w:p w14:paraId="13203970" w14:textId="77777777" w:rsidR="00233709" w:rsidRPr="00233709" w:rsidRDefault="00233709" w:rsidP="00233709">
      <w:pPr>
        <w:pStyle w:val="ListParagraph"/>
        <w:rPr>
          <w:rFonts w:ascii="Arial" w:hAnsi="Arial" w:cs="Arial"/>
          <w:sz w:val="24"/>
          <w:szCs w:val="24"/>
        </w:rPr>
      </w:pPr>
    </w:p>
    <w:p w14:paraId="00049F15" w14:textId="77777777" w:rsidR="00EC35D3" w:rsidRPr="00233709" w:rsidRDefault="00EC35D3" w:rsidP="00233709">
      <w:pPr>
        <w:pStyle w:val="ListParagraph"/>
        <w:rPr>
          <w:rFonts w:ascii="Arial" w:hAnsi="Arial" w:cs="Arial"/>
          <w:sz w:val="24"/>
          <w:szCs w:val="24"/>
        </w:rPr>
      </w:pPr>
      <w:r w:rsidRPr="00233709">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5AFE142D" wp14:editId="6058DD16">
                <wp:simplePos x="0" y="0"/>
                <wp:positionH relativeFrom="column">
                  <wp:posOffset>447675</wp:posOffset>
                </wp:positionH>
                <wp:positionV relativeFrom="paragraph">
                  <wp:posOffset>9525</wp:posOffset>
                </wp:positionV>
                <wp:extent cx="1638300" cy="3714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638300"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78012" id="Rectangle 7" o:spid="_x0000_s1026" style="position:absolute;margin-left:35.25pt;margin-top:.75pt;width:129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" fillcolor="white [3212]" strokecolor="#1f3763 [1604]" strokeweight="1pt"/>
            </w:pict>
          </mc:Fallback>
        </mc:AlternateContent>
      </w:r>
    </w:p>
    <w:p w14:paraId="4C578780" w14:textId="5648440B" w:rsidR="0022168E" w:rsidRPr="00233709" w:rsidRDefault="0022168E" w:rsidP="00233709">
      <w:pPr>
        <w:pStyle w:val="ListParagraph"/>
        <w:rPr>
          <w:rFonts w:ascii="Arial" w:hAnsi="Arial" w:cs="Arial"/>
          <w:sz w:val="24"/>
          <w:szCs w:val="24"/>
        </w:rPr>
      </w:pPr>
    </w:p>
    <w:p w14:paraId="2D674957" w14:textId="77777777" w:rsidR="00233709" w:rsidRPr="00233709" w:rsidRDefault="00233709" w:rsidP="00233709">
      <w:pPr>
        <w:pStyle w:val="ListParagraph"/>
        <w:rPr>
          <w:rFonts w:ascii="Arial" w:hAnsi="Arial" w:cs="Arial"/>
          <w:sz w:val="24"/>
          <w:szCs w:val="24"/>
        </w:rPr>
      </w:pPr>
    </w:p>
    <w:p w14:paraId="54F60D0C" w14:textId="6E75654C" w:rsidR="0022168E" w:rsidRPr="00233709" w:rsidRDefault="0022168E" w:rsidP="00233709">
      <w:pPr>
        <w:pStyle w:val="ListParagraph"/>
        <w:numPr>
          <w:ilvl w:val="0"/>
          <w:numId w:val="1"/>
        </w:numPr>
        <w:rPr>
          <w:rFonts w:ascii="Arial" w:hAnsi="Arial" w:cs="Arial"/>
          <w:sz w:val="24"/>
          <w:szCs w:val="24"/>
        </w:rPr>
      </w:pPr>
      <w:r w:rsidRPr="00233709">
        <w:rPr>
          <w:rFonts w:ascii="Arial" w:hAnsi="Arial" w:cs="Arial"/>
          <w:sz w:val="24"/>
          <w:szCs w:val="24"/>
        </w:rPr>
        <w:t>What was the % increase in public sector borrowing between 2008 and 2009</w:t>
      </w:r>
      <w:r w:rsidR="00D0075F" w:rsidRPr="00233709">
        <w:rPr>
          <w:rFonts w:ascii="Arial" w:hAnsi="Arial" w:cs="Arial"/>
          <w:sz w:val="24"/>
          <w:szCs w:val="24"/>
        </w:rPr>
        <w:t xml:space="preserve"> inclusive</w:t>
      </w:r>
      <w:r w:rsidRPr="00233709">
        <w:rPr>
          <w:rFonts w:ascii="Arial" w:hAnsi="Arial" w:cs="Arial"/>
          <w:sz w:val="24"/>
          <w:szCs w:val="24"/>
        </w:rPr>
        <w:t>?</w:t>
      </w:r>
    </w:p>
    <w:p w14:paraId="28BBF485" w14:textId="77777777" w:rsidR="00233709" w:rsidRPr="00233709" w:rsidRDefault="00233709" w:rsidP="00233709">
      <w:pPr>
        <w:pStyle w:val="ListParagraph"/>
        <w:rPr>
          <w:rFonts w:ascii="Arial" w:hAnsi="Arial" w:cs="Arial"/>
          <w:sz w:val="24"/>
          <w:szCs w:val="24"/>
        </w:rPr>
      </w:pPr>
    </w:p>
    <w:p w14:paraId="7E5F5B00" w14:textId="77777777" w:rsidR="00EC35D3" w:rsidRPr="00233709" w:rsidRDefault="00EC35D3" w:rsidP="00233709">
      <w:pPr>
        <w:pStyle w:val="ListParagraph"/>
        <w:rPr>
          <w:rFonts w:ascii="Arial" w:hAnsi="Arial" w:cs="Arial"/>
          <w:sz w:val="24"/>
          <w:szCs w:val="24"/>
        </w:rPr>
      </w:pPr>
      <w:r w:rsidRPr="00233709">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4C266D8F" wp14:editId="7945D53F">
                <wp:simplePos x="0" y="0"/>
                <wp:positionH relativeFrom="column">
                  <wp:posOffset>466725</wp:posOffset>
                </wp:positionH>
                <wp:positionV relativeFrom="paragraph">
                  <wp:posOffset>9525</wp:posOffset>
                </wp:positionV>
                <wp:extent cx="1638300" cy="3714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638300"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E3383" id="Rectangle 8" o:spid="_x0000_s1026" style="position:absolute;margin-left:36.75pt;margin-top:.75pt;width:129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" fillcolor="white [3212]" strokecolor="#1f3763 [1604]" strokeweight="1pt"/>
            </w:pict>
          </mc:Fallback>
        </mc:AlternateContent>
      </w:r>
    </w:p>
    <w:p w14:paraId="2B330071" w14:textId="661C7A17" w:rsidR="0022168E" w:rsidRDefault="0022168E" w:rsidP="00233709">
      <w:pPr>
        <w:pStyle w:val="ListParagraph"/>
        <w:rPr>
          <w:rFonts w:ascii="Arial" w:hAnsi="Arial" w:cs="Arial"/>
          <w:sz w:val="24"/>
          <w:szCs w:val="24"/>
        </w:rPr>
      </w:pPr>
    </w:p>
    <w:p w14:paraId="6D84C4C8" w14:textId="77777777" w:rsidR="00CF21C6" w:rsidRPr="00233709" w:rsidRDefault="00CF21C6" w:rsidP="00233709">
      <w:pPr>
        <w:pStyle w:val="ListParagraph"/>
        <w:rPr>
          <w:rFonts w:ascii="Arial" w:hAnsi="Arial" w:cs="Arial"/>
          <w:sz w:val="24"/>
          <w:szCs w:val="24"/>
        </w:rPr>
      </w:pPr>
    </w:p>
    <w:p w14:paraId="5EA4C930" w14:textId="77777777" w:rsidR="0022168E" w:rsidRPr="00233709" w:rsidRDefault="0022168E" w:rsidP="00233709">
      <w:pPr>
        <w:pStyle w:val="ListParagraph"/>
        <w:numPr>
          <w:ilvl w:val="0"/>
          <w:numId w:val="1"/>
        </w:numPr>
        <w:rPr>
          <w:rFonts w:ascii="Arial" w:hAnsi="Arial" w:cs="Arial"/>
          <w:sz w:val="24"/>
          <w:szCs w:val="24"/>
        </w:rPr>
      </w:pPr>
      <w:r w:rsidRPr="00233709">
        <w:rPr>
          <w:rFonts w:ascii="Arial" w:hAnsi="Arial" w:cs="Arial"/>
          <w:sz w:val="24"/>
          <w:szCs w:val="24"/>
        </w:rPr>
        <w:lastRenderedPageBreak/>
        <w:t xml:space="preserve">What was the % </w:t>
      </w:r>
      <w:r w:rsidR="00EC35D3" w:rsidRPr="00233709">
        <w:rPr>
          <w:rFonts w:ascii="Arial" w:hAnsi="Arial" w:cs="Arial"/>
          <w:sz w:val="24"/>
          <w:szCs w:val="24"/>
        </w:rPr>
        <w:t>decrease</w:t>
      </w:r>
      <w:r w:rsidRPr="00233709">
        <w:rPr>
          <w:rFonts w:ascii="Arial" w:hAnsi="Arial" w:cs="Arial"/>
          <w:sz w:val="24"/>
          <w:szCs w:val="24"/>
        </w:rPr>
        <w:t xml:space="preserve"> in public sector investment</w:t>
      </w:r>
      <w:r w:rsidR="00EC35D3" w:rsidRPr="00233709">
        <w:rPr>
          <w:rFonts w:ascii="Arial" w:hAnsi="Arial" w:cs="Arial"/>
          <w:sz w:val="24"/>
          <w:szCs w:val="24"/>
        </w:rPr>
        <w:t xml:space="preserve"> between 2009</w:t>
      </w:r>
      <w:r w:rsidRPr="00233709">
        <w:rPr>
          <w:rFonts w:ascii="Arial" w:hAnsi="Arial" w:cs="Arial"/>
          <w:sz w:val="24"/>
          <w:szCs w:val="24"/>
        </w:rPr>
        <w:t xml:space="preserve"> and 20</w:t>
      </w:r>
      <w:r w:rsidR="00EC35D3" w:rsidRPr="00233709">
        <w:rPr>
          <w:rFonts w:ascii="Arial" w:hAnsi="Arial" w:cs="Arial"/>
          <w:sz w:val="24"/>
          <w:szCs w:val="24"/>
        </w:rPr>
        <w:t>10</w:t>
      </w:r>
      <w:r w:rsidR="00D0075F" w:rsidRPr="00233709">
        <w:rPr>
          <w:rFonts w:ascii="Arial" w:hAnsi="Arial" w:cs="Arial"/>
          <w:sz w:val="24"/>
          <w:szCs w:val="24"/>
        </w:rPr>
        <w:t xml:space="preserve"> inclusive</w:t>
      </w:r>
      <w:r w:rsidRPr="00233709">
        <w:rPr>
          <w:rFonts w:ascii="Arial" w:hAnsi="Arial" w:cs="Arial"/>
          <w:sz w:val="24"/>
          <w:szCs w:val="24"/>
        </w:rPr>
        <w:t>?</w:t>
      </w:r>
    </w:p>
    <w:p w14:paraId="2411461C" w14:textId="77777777" w:rsidR="00233709" w:rsidRPr="00233709" w:rsidRDefault="00233709" w:rsidP="00233709">
      <w:pPr>
        <w:pStyle w:val="ListParagraph"/>
        <w:rPr>
          <w:rFonts w:ascii="Arial" w:hAnsi="Arial" w:cs="Arial"/>
          <w:sz w:val="24"/>
          <w:szCs w:val="24"/>
        </w:rPr>
      </w:pPr>
    </w:p>
    <w:p w14:paraId="72C723FB" w14:textId="6970B65F" w:rsidR="00EC35D3" w:rsidRPr="00233709" w:rsidRDefault="00EC35D3" w:rsidP="00233709">
      <w:pPr>
        <w:pStyle w:val="ListParagraph"/>
        <w:rPr>
          <w:rFonts w:ascii="Arial" w:hAnsi="Arial" w:cs="Arial"/>
          <w:sz w:val="24"/>
          <w:szCs w:val="24"/>
        </w:rPr>
      </w:pPr>
      <w:r w:rsidRPr="00233709">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0712CAFA" wp14:editId="77017A4F">
                <wp:simplePos x="0" y="0"/>
                <wp:positionH relativeFrom="column">
                  <wp:posOffset>466725</wp:posOffset>
                </wp:positionH>
                <wp:positionV relativeFrom="paragraph">
                  <wp:posOffset>9525</wp:posOffset>
                </wp:positionV>
                <wp:extent cx="1638300" cy="3714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638300"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77F6D" id="Rectangle 9" o:spid="_x0000_s1026" style="position:absolute;margin-left:36.75pt;margin-top:.75pt;width:129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" fillcolor="white [3212]" strokecolor="#1f3763 [1604]" strokeweight="1pt"/>
            </w:pict>
          </mc:Fallback>
        </mc:AlternateContent>
      </w:r>
    </w:p>
    <w:p w14:paraId="5CBC4373" w14:textId="45BB73B8" w:rsidR="0022168E" w:rsidRPr="00233709" w:rsidRDefault="0022168E" w:rsidP="00233709">
      <w:pPr>
        <w:pStyle w:val="ListParagraph"/>
        <w:rPr>
          <w:rFonts w:ascii="Arial" w:hAnsi="Arial" w:cs="Arial"/>
          <w:sz w:val="24"/>
          <w:szCs w:val="24"/>
        </w:rPr>
      </w:pPr>
    </w:p>
    <w:p w14:paraId="435321A0" w14:textId="77777777" w:rsidR="00233709" w:rsidRPr="00233709" w:rsidRDefault="00233709" w:rsidP="00233709">
      <w:pPr>
        <w:pStyle w:val="ListParagraph"/>
        <w:rPr>
          <w:rFonts w:ascii="Arial" w:hAnsi="Arial" w:cs="Arial"/>
          <w:sz w:val="24"/>
          <w:szCs w:val="24"/>
        </w:rPr>
      </w:pPr>
    </w:p>
    <w:p w14:paraId="3D7488F1" w14:textId="77777777" w:rsidR="0022168E" w:rsidRPr="00233709" w:rsidRDefault="0022168E" w:rsidP="00233709">
      <w:pPr>
        <w:pStyle w:val="ListParagraph"/>
        <w:numPr>
          <w:ilvl w:val="0"/>
          <w:numId w:val="1"/>
        </w:numPr>
        <w:rPr>
          <w:rFonts w:ascii="Arial" w:hAnsi="Arial" w:cs="Arial"/>
          <w:sz w:val="24"/>
          <w:szCs w:val="24"/>
        </w:rPr>
      </w:pPr>
      <w:r w:rsidRPr="00233709">
        <w:rPr>
          <w:rFonts w:ascii="Arial" w:hAnsi="Arial" w:cs="Arial"/>
          <w:sz w:val="24"/>
          <w:szCs w:val="24"/>
        </w:rPr>
        <w:t>What was the ratio between public sector borrowing and public sector investment in 2011 (to 2 decimal places)?</w:t>
      </w:r>
    </w:p>
    <w:p w14:paraId="4997A4A0" w14:textId="77777777" w:rsidR="00233709" w:rsidRPr="00233709" w:rsidRDefault="00233709" w:rsidP="00233709">
      <w:pPr>
        <w:pStyle w:val="ListParagraph"/>
        <w:rPr>
          <w:rFonts w:ascii="Arial" w:hAnsi="Arial" w:cs="Arial"/>
          <w:sz w:val="24"/>
          <w:szCs w:val="24"/>
        </w:rPr>
      </w:pPr>
    </w:p>
    <w:p w14:paraId="3AB64A30" w14:textId="673DD169" w:rsidR="00EC35D3" w:rsidRPr="00233709" w:rsidRDefault="00EC35D3" w:rsidP="00233709">
      <w:pPr>
        <w:pStyle w:val="ListParagraph"/>
        <w:rPr>
          <w:rFonts w:ascii="Arial" w:hAnsi="Arial" w:cs="Arial"/>
          <w:sz w:val="24"/>
          <w:szCs w:val="24"/>
        </w:rPr>
      </w:pPr>
      <w:r w:rsidRPr="00233709">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0EBE3053" wp14:editId="31508AF0">
                <wp:simplePos x="0" y="0"/>
                <wp:positionH relativeFrom="column">
                  <wp:posOffset>457200</wp:posOffset>
                </wp:positionH>
                <wp:positionV relativeFrom="paragraph">
                  <wp:posOffset>8890</wp:posOffset>
                </wp:positionV>
                <wp:extent cx="1638300" cy="371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638300"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ED98F" id="Rectangle 10" o:spid="_x0000_s1026" style="position:absolute;margin-left:36pt;margin-top:.7pt;width:129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" fillcolor="white [3212]" strokecolor="#1f3763 [1604]" strokeweight="1pt"/>
            </w:pict>
          </mc:Fallback>
        </mc:AlternateContent>
      </w:r>
    </w:p>
    <w:p w14:paraId="4E82F20E" w14:textId="77777777" w:rsidR="00233709" w:rsidRPr="00233709" w:rsidRDefault="00233709" w:rsidP="00233709">
      <w:pPr>
        <w:rPr>
          <w:rFonts w:ascii="Arial" w:hAnsi="Arial" w:cs="Arial"/>
          <w:b/>
          <w:sz w:val="24"/>
          <w:szCs w:val="24"/>
        </w:rPr>
      </w:pPr>
    </w:p>
    <w:p w14:paraId="4B373755" w14:textId="572200BB" w:rsidR="0022168E" w:rsidRPr="00233709" w:rsidRDefault="0022168E" w:rsidP="00233709">
      <w:pPr>
        <w:rPr>
          <w:rFonts w:ascii="Arial" w:hAnsi="Arial" w:cs="Arial"/>
          <w:b/>
          <w:sz w:val="24"/>
          <w:szCs w:val="24"/>
          <w:u w:val="single"/>
        </w:rPr>
      </w:pPr>
      <w:r w:rsidRPr="00233709">
        <w:rPr>
          <w:rFonts w:ascii="Arial" w:hAnsi="Arial" w:cs="Arial"/>
          <w:b/>
          <w:sz w:val="24"/>
          <w:szCs w:val="24"/>
          <w:u w:val="single"/>
        </w:rPr>
        <w:t>Literacy Questions</w:t>
      </w:r>
    </w:p>
    <w:p w14:paraId="20528F53" w14:textId="77777777" w:rsidR="0022168E" w:rsidRPr="00233709" w:rsidRDefault="0022168E" w:rsidP="00233709">
      <w:pPr>
        <w:pStyle w:val="ListParagraph"/>
        <w:numPr>
          <w:ilvl w:val="0"/>
          <w:numId w:val="2"/>
        </w:numPr>
        <w:rPr>
          <w:rFonts w:ascii="Arial" w:hAnsi="Arial" w:cs="Arial"/>
          <w:sz w:val="24"/>
          <w:szCs w:val="24"/>
        </w:rPr>
      </w:pPr>
      <w:r w:rsidRPr="00233709">
        <w:rPr>
          <w:rFonts w:ascii="Arial" w:hAnsi="Arial" w:cs="Arial"/>
          <w:sz w:val="24"/>
          <w:szCs w:val="24"/>
        </w:rPr>
        <w:t>What were the t</w:t>
      </w:r>
      <w:r w:rsidR="001758E9" w:rsidRPr="00233709">
        <w:rPr>
          <w:rFonts w:ascii="Arial" w:hAnsi="Arial" w:cs="Arial"/>
          <w:sz w:val="24"/>
          <w:szCs w:val="24"/>
        </w:rPr>
        <w:t>wo</w:t>
      </w:r>
      <w:r w:rsidRPr="00233709">
        <w:rPr>
          <w:rFonts w:ascii="Arial" w:hAnsi="Arial" w:cs="Arial"/>
          <w:sz w:val="24"/>
          <w:szCs w:val="24"/>
        </w:rPr>
        <w:t xml:space="preserve"> external shocks that the government blamed for the weak recovery in the UK economy?</w:t>
      </w:r>
    </w:p>
    <w:p w14:paraId="1A5115A8" w14:textId="77777777" w:rsidR="00EC35D3" w:rsidRPr="00233709" w:rsidRDefault="00EC35D3" w:rsidP="00233709">
      <w:pPr>
        <w:pStyle w:val="ListParagraph"/>
        <w:rPr>
          <w:rFonts w:ascii="Arial" w:hAnsi="Arial" w:cs="Arial"/>
          <w:sz w:val="24"/>
          <w:szCs w:val="24"/>
        </w:rPr>
      </w:pPr>
      <w:r w:rsidRPr="00233709">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79EEE829" wp14:editId="2F134EE9">
                <wp:simplePos x="0" y="0"/>
                <wp:positionH relativeFrom="column">
                  <wp:posOffset>401782</wp:posOffset>
                </wp:positionH>
                <wp:positionV relativeFrom="paragraph">
                  <wp:posOffset>109797</wp:posOffset>
                </wp:positionV>
                <wp:extent cx="5991225" cy="1191491"/>
                <wp:effectExtent l="0" t="0" r="28575" b="27940"/>
                <wp:wrapNone/>
                <wp:docPr id="11" name="Rectangle 11"/>
                <wp:cNvGraphicFramePr/>
                <a:graphic xmlns:a="http://schemas.openxmlformats.org/drawingml/2006/main">
                  <a:graphicData uri="http://schemas.microsoft.com/office/word/2010/wordprocessingShape">
                    <wps:wsp>
                      <wps:cNvSpPr/>
                      <wps:spPr>
                        <a:xfrm>
                          <a:off x="0" y="0"/>
                          <a:ext cx="5991225" cy="119149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B07B84" id="Rectangle 11" o:spid="_x0000_s1026" style="position:absolute;margin-left:31.65pt;margin-top:8.65pt;width:471.75pt;height:93.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" fillcolor="white [3212]" strokecolor="#1f3763 [1604]" strokeweight="1pt"/>
            </w:pict>
          </mc:Fallback>
        </mc:AlternateContent>
      </w:r>
    </w:p>
    <w:p w14:paraId="33B891D8" w14:textId="77777777" w:rsidR="00EC35D3" w:rsidRPr="00233709" w:rsidRDefault="00EC35D3" w:rsidP="00233709">
      <w:pPr>
        <w:pStyle w:val="ListParagraph"/>
        <w:rPr>
          <w:rFonts w:ascii="Arial" w:hAnsi="Arial" w:cs="Arial"/>
          <w:sz w:val="24"/>
          <w:szCs w:val="24"/>
        </w:rPr>
      </w:pPr>
    </w:p>
    <w:p w14:paraId="4ABFCDB4" w14:textId="77777777" w:rsidR="00EC35D3" w:rsidRPr="00233709" w:rsidRDefault="00EC35D3" w:rsidP="00233709">
      <w:pPr>
        <w:pStyle w:val="ListParagraph"/>
        <w:rPr>
          <w:rFonts w:ascii="Arial" w:hAnsi="Arial" w:cs="Arial"/>
          <w:sz w:val="24"/>
          <w:szCs w:val="24"/>
        </w:rPr>
      </w:pPr>
    </w:p>
    <w:p w14:paraId="3B43621C" w14:textId="77777777" w:rsidR="00EC35D3" w:rsidRPr="00233709" w:rsidRDefault="00EC35D3" w:rsidP="00233709">
      <w:pPr>
        <w:pStyle w:val="ListParagraph"/>
        <w:rPr>
          <w:rFonts w:ascii="Arial" w:hAnsi="Arial" w:cs="Arial"/>
          <w:sz w:val="24"/>
          <w:szCs w:val="24"/>
        </w:rPr>
      </w:pPr>
    </w:p>
    <w:p w14:paraId="23179F58" w14:textId="77777777" w:rsidR="00EC35D3" w:rsidRPr="00233709" w:rsidRDefault="00EC35D3" w:rsidP="00233709">
      <w:pPr>
        <w:pStyle w:val="ListParagraph"/>
        <w:rPr>
          <w:rFonts w:ascii="Arial" w:hAnsi="Arial" w:cs="Arial"/>
          <w:sz w:val="24"/>
          <w:szCs w:val="24"/>
        </w:rPr>
      </w:pPr>
    </w:p>
    <w:p w14:paraId="345F4D7A" w14:textId="77777777" w:rsidR="00233709" w:rsidRPr="00233709" w:rsidRDefault="00233709" w:rsidP="00233709">
      <w:pPr>
        <w:rPr>
          <w:rFonts w:ascii="Arial" w:hAnsi="Arial" w:cs="Arial"/>
          <w:sz w:val="24"/>
          <w:szCs w:val="24"/>
        </w:rPr>
      </w:pPr>
    </w:p>
    <w:p w14:paraId="6DB84BF5" w14:textId="5D605C9E" w:rsidR="0022168E" w:rsidRDefault="0022168E" w:rsidP="00233709">
      <w:pPr>
        <w:pStyle w:val="ListParagraph"/>
        <w:numPr>
          <w:ilvl w:val="0"/>
          <w:numId w:val="2"/>
        </w:numPr>
        <w:rPr>
          <w:rFonts w:ascii="Arial" w:hAnsi="Arial" w:cs="Arial"/>
          <w:sz w:val="24"/>
          <w:szCs w:val="24"/>
        </w:rPr>
      </w:pPr>
      <w:r w:rsidRPr="00233709">
        <w:rPr>
          <w:rFonts w:ascii="Arial" w:hAnsi="Arial" w:cs="Arial"/>
          <w:sz w:val="24"/>
          <w:szCs w:val="24"/>
        </w:rPr>
        <w:t>What do many other commentators believe to be the reason why the UK recovery has been much weaker than necessary?</w:t>
      </w:r>
    </w:p>
    <w:p w14:paraId="54CE0E49" w14:textId="77777777" w:rsidR="00233709" w:rsidRPr="00233709" w:rsidRDefault="00233709" w:rsidP="00233709">
      <w:pPr>
        <w:pStyle w:val="ListParagraph"/>
        <w:rPr>
          <w:rFonts w:ascii="Arial" w:hAnsi="Arial" w:cs="Arial"/>
          <w:sz w:val="24"/>
          <w:szCs w:val="24"/>
        </w:rPr>
      </w:pPr>
    </w:p>
    <w:p w14:paraId="5246EF9D" w14:textId="77777777" w:rsidR="00EC35D3" w:rsidRPr="00233709" w:rsidRDefault="00EC35D3" w:rsidP="00233709">
      <w:pPr>
        <w:pStyle w:val="ListParagraph"/>
        <w:rPr>
          <w:rFonts w:ascii="Arial" w:hAnsi="Arial" w:cs="Arial"/>
          <w:sz w:val="24"/>
          <w:szCs w:val="24"/>
        </w:rPr>
      </w:pPr>
      <w:r w:rsidRPr="00233709">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7B348E4C" wp14:editId="2A43E535">
                <wp:simplePos x="0" y="0"/>
                <wp:positionH relativeFrom="margin">
                  <wp:posOffset>455930</wp:posOffset>
                </wp:positionH>
                <wp:positionV relativeFrom="paragraph">
                  <wp:posOffset>8890</wp:posOffset>
                </wp:positionV>
                <wp:extent cx="5991225" cy="1304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991225" cy="130492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06810" id="Rectangle 12" o:spid="_x0000_s1026" style="position:absolute;margin-left:35.9pt;margin-top:.7pt;width:471.75pt;height:102.7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" fillcolor="window" strokecolor="#2f528f" strokeweight="1pt">
                <w10:wrap anchorx="margin"/>
              </v:rect>
            </w:pict>
          </mc:Fallback>
        </mc:AlternateContent>
      </w:r>
    </w:p>
    <w:p w14:paraId="06632C63" w14:textId="77777777" w:rsidR="00EC35D3" w:rsidRPr="00233709" w:rsidRDefault="00EC35D3" w:rsidP="00233709">
      <w:pPr>
        <w:pStyle w:val="ListParagraph"/>
        <w:rPr>
          <w:rFonts w:ascii="Arial" w:hAnsi="Arial" w:cs="Arial"/>
          <w:sz w:val="24"/>
          <w:szCs w:val="24"/>
        </w:rPr>
      </w:pPr>
    </w:p>
    <w:p w14:paraId="25AA76FB" w14:textId="77777777" w:rsidR="00EC35D3" w:rsidRPr="00233709" w:rsidRDefault="00EC35D3" w:rsidP="00233709">
      <w:pPr>
        <w:pStyle w:val="ListParagraph"/>
        <w:rPr>
          <w:rFonts w:ascii="Arial" w:hAnsi="Arial" w:cs="Arial"/>
          <w:sz w:val="24"/>
          <w:szCs w:val="24"/>
        </w:rPr>
      </w:pPr>
    </w:p>
    <w:p w14:paraId="17A34AAF" w14:textId="77777777" w:rsidR="00EC35D3" w:rsidRPr="00233709" w:rsidRDefault="00EC35D3" w:rsidP="00233709">
      <w:pPr>
        <w:pStyle w:val="ListParagraph"/>
        <w:rPr>
          <w:rFonts w:ascii="Arial" w:hAnsi="Arial" w:cs="Arial"/>
          <w:sz w:val="24"/>
          <w:szCs w:val="24"/>
        </w:rPr>
      </w:pPr>
    </w:p>
    <w:p w14:paraId="6E74EAB2" w14:textId="77777777" w:rsidR="00EC35D3" w:rsidRPr="00233709" w:rsidRDefault="00EC35D3" w:rsidP="00233709">
      <w:pPr>
        <w:pStyle w:val="ListParagraph"/>
        <w:rPr>
          <w:rFonts w:ascii="Arial" w:hAnsi="Arial" w:cs="Arial"/>
          <w:sz w:val="24"/>
          <w:szCs w:val="24"/>
        </w:rPr>
      </w:pPr>
    </w:p>
    <w:p w14:paraId="165CA7AD" w14:textId="77777777" w:rsidR="0022168E" w:rsidRPr="00233709" w:rsidRDefault="0022168E" w:rsidP="00233709">
      <w:pPr>
        <w:rPr>
          <w:rFonts w:ascii="Arial" w:hAnsi="Arial" w:cs="Arial"/>
          <w:sz w:val="24"/>
          <w:szCs w:val="24"/>
        </w:rPr>
      </w:pPr>
    </w:p>
    <w:p w14:paraId="47943C12" w14:textId="77777777" w:rsidR="00233709" w:rsidRDefault="00233709" w:rsidP="00233709">
      <w:pPr>
        <w:pStyle w:val="ListParagraph"/>
        <w:rPr>
          <w:rFonts w:ascii="Arial" w:hAnsi="Arial" w:cs="Arial"/>
          <w:sz w:val="24"/>
          <w:szCs w:val="24"/>
        </w:rPr>
      </w:pPr>
    </w:p>
    <w:p w14:paraId="7B9958CF" w14:textId="66362E1F" w:rsidR="0022168E" w:rsidRPr="00233709" w:rsidRDefault="0022168E" w:rsidP="00233709">
      <w:pPr>
        <w:pStyle w:val="ListParagraph"/>
        <w:numPr>
          <w:ilvl w:val="0"/>
          <w:numId w:val="2"/>
        </w:numPr>
        <w:rPr>
          <w:rFonts w:ascii="Arial" w:hAnsi="Arial" w:cs="Arial"/>
          <w:sz w:val="24"/>
          <w:szCs w:val="24"/>
        </w:rPr>
      </w:pPr>
      <w:r w:rsidRPr="00233709">
        <w:rPr>
          <w:rFonts w:ascii="Arial" w:hAnsi="Arial" w:cs="Arial"/>
          <w:sz w:val="24"/>
          <w:szCs w:val="24"/>
        </w:rPr>
        <w:t>Why do business leaders want to see more investment in infrastructure?</w:t>
      </w:r>
    </w:p>
    <w:p w14:paraId="44F0E98C" w14:textId="61E2B378" w:rsidR="00EC35D3" w:rsidRPr="00233709" w:rsidRDefault="00233709" w:rsidP="00233709">
      <w:pPr>
        <w:rPr>
          <w:rFonts w:ascii="Arial" w:hAnsi="Arial" w:cs="Arial"/>
          <w:sz w:val="24"/>
          <w:szCs w:val="24"/>
        </w:rPr>
      </w:pPr>
      <w:r w:rsidRPr="00233709">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09BCF5CD" wp14:editId="04E955F9">
                <wp:simplePos x="0" y="0"/>
                <wp:positionH relativeFrom="column">
                  <wp:posOffset>540327</wp:posOffset>
                </wp:positionH>
                <wp:positionV relativeFrom="paragraph">
                  <wp:posOffset>138372</wp:posOffset>
                </wp:positionV>
                <wp:extent cx="5991225" cy="15240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991225" cy="15240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9D6399" id="Rectangle 13" o:spid="_x0000_s1026" style="position:absolute;margin-left:42.55pt;margin-top:10.9pt;width:471.75pt;height:120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" fillcolor="window" strokecolor="#2f528f" strokeweight="1pt"/>
            </w:pict>
          </mc:Fallback>
        </mc:AlternateContent>
      </w:r>
    </w:p>
    <w:p w14:paraId="693C6C82" w14:textId="45D39AB4" w:rsidR="00EC35D3" w:rsidRPr="00233709" w:rsidRDefault="00EC35D3" w:rsidP="00233709">
      <w:pPr>
        <w:rPr>
          <w:rFonts w:ascii="Arial" w:hAnsi="Arial" w:cs="Arial"/>
          <w:sz w:val="24"/>
          <w:szCs w:val="24"/>
        </w:rPr>
      </w:pPr>
    </w:p>
    <w:p w14:paraId="4E1BB076" w14:textId="77777777" w:rsidR="00EC35D3" w:rsidRPr="00233709" w:rsidRDefault="00EC35D3" w:rsidP="00233709">
      <w:pPr>
        <w:rPr>
          <w:rFonts w:ascii="Arial" w:hAnsi="Arial" w:cs="Arial"/>
          <w:sz w:val="24"/>
          <w:szCs w:val="24"/>
        </w:rPr>
      </w:pPr>
    </w:p>
    <w:p w14:paraId="174D74AA" w14:textId="59937526" w:rsidR="0022168E" w:rsidRPr="00233709" w:rsidRDefault="0022168E" w:rsidP="00233709">
      <w:pPr>
        <w:rPr>
          <w:rFonts w:ascii="Arial" w:hAnsi="Arial" w:cs="Arial"/>
          <w:sz w:val="24"/>
          <w:szCs w:val="24"/>
        </w:rPr>
      </w:pPr>
    </w:p>
    <w:p w14:paraId="5563D022" w14:textId="77777777" w:rsidR="00233709" w:rsidRPr="00233709" w:rsidRDefault="00233709" w:rsidP="00233709">
      <w:pPr>
        <w:rPr>
          <w:rFonts w:ascii="Arial" w:hAnsi="Arial" w:cs="Arial"/>
          <w:sz w:val="24"/>
          <w:szCs w:val="24"/>
        </w:rPr>
      </w:pPr>
    </w:p>
    <w:p w14:paraId="1181506A" w14:textId="73A00A3C" w:rsidR="00EC35D3" w:rsidRDefault="00EC35D3" w:rsidP="00233709">
      <w:pPr>
        <w:rPr>
          <w:rFonts w:ascii="Arial" w:hAnsi="Arial" w:cs="Arial"/>
          <w:sz w:val="24"/>
          <w:szCs w:val="24"/>
        </w:rPr>
      </w:pPr>
    </w:p>
    <w:p w14:paraId="5DB59DE6" w14:textId="77777777" w:rsidR="00316E65" w:rsidRPr="00233709" w:rsidRDefault="00316E65" w:rsidP="00233709">
      <w:pPr>
        <w:rPr>
          <w:rFonts w:ascii="Arial" w:hAnsi="Arial" w:cs="Arial"/>
          <w:sz w:val="24"/>
          <w:szCs w:val="24"/>
        </w:rPr>
      </w:pPr>
    </w:p>
    <w:p w14:paraId="28F69DE5" w14:textId="77777777" w:rsidR="0022168E" w:rsidRPr="00233709" w:rsidRDefault="00371BD4" w:rsidP="00233709">
      <w:pPr>
        <w:pStyle w:val="ListParagraph"/>
        <w:numPr>
          <w:ilvl w:val="0"/>
          <w:numId w:val="2"/>
        </w:numPr>
        <w:rPr>
          <w:rFonts w:ascii="Arial" w:hAnsi="Arial" w:cs="Arial"/>
          <w:sz w:val="24"/>
          <w:szCs w:val="24"/>
        </w:rPr>
      </w:pPr>
      <w:r w:rsidRPr="00233709">
        <w:rPr>
          <w:rFonts w:ascii="Arial" w:hAnsi="Arial" w:cs="Arial"/>
          <w:sz w:val="24"/>
          <w:szCs w:val="24"/>
        </w:rPr>
        <w:t>What is meant by austerity?</w:t>
      </w:r>
    </w:p>
    <w:p w14:paraId="18141430" w14:textId="77777777" w:rsidR="00EC35D3" w:rsidRPr="00233709" w:rsidRDefault="00EC35D3" w:rsidP="00233709">
      <w:pPr>
        <w:rPr>
          <w:rFonts w:ascii="Arial" w:hAnsi="Arial" w:cs="Arial"/>
          <w:sz w:val="24"/>
          <w:szCs w:val="24"/>
        </w:rPr>
      </w:pPr>
      <w:r w:rsidRPr="00233709">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602174E6" wp14:editId="7E8E9708">
                <wp:simplePos x="0" y="0"/>
                <wp:positionH relativeFrom="column">
                  <wp:posOffset>447675</wp:posOffset>
                </wp:positionH>
                <wp:positionV relativeFrom="paragraph">
                  <wp:posOffset>8890</wp:posOffset>
                </wp:positionV>
                <wp:extent cx="5991225" cy="1304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5991225" cy="130492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9477E" id="Rectangle 14" o:spid="_x0000_s1026" style="position:absolute;margin-left:35.25pt;margin-top:.7pt;width:471.75pt;height:10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" fillcolor="window" strokecolor="#2f528f" strokeweight="1pt"/>
            </w:pict>
          </mc:Fallback>
        </mc:AlternateContent>
      </w:r>
    </w:p>
    <w:p w14:paraId="55573F8A" w14:textId="77777777" w:rsidR="00EC35D3" w:rsidRPr="00233709" w:rsidRDefault="00EC35D3" w:rsidP="00233709">
      <w:pPr>
        <w:rPr>
          <w:rFonts w:ascii="Arial" w:hAnsi="Arial" w:cs="Arial"/>
          <w:sz w:val="24"/>
          <w:szCs w:val="24"/>
        </w:rPr>
      </w:pPr>
    </w:p>
    <w:p w14:paraId="0F2D83A0" w14:textId="77777777" w:rsidR="00EC35D3" w:rsidRPr="00233709" w:rsidRDefault="00EC35D3" w:rsidP="00233709">
      <w:pPr>
        <w:rPr>
          <w:rFonts w:ascii="Arial" w:hAnsi="Arial" w:cs="Arial"/>
          <w:sz w:val="24"/>
          <w:szCs w:val="24"/>
        </w:rPr>
      </w:pPr>
    </w:p>
    <w:p w14:paraId="601F5994" w14:textId="7430BDAB" w:rsidR="00EC35D3" w:rsidRPr="00233709" w:rsidRDefault="00EC35D3" w:rsidP="00233709">
      <w:pPr>
        <w:rPr>
          <w:rFonts w:ascii="Arial" w:hAnsi="Arial" w:cs="Arial"/>
          <w:sz w:val="24"/>
          <w:szCs w:val="24"/>
        </w:rPr>
      </w:pPr>
    </w:p>
    <w:p w14:paraId="0CE948E1" w14:textId="77777777" w:rsidR="00233709" w:rsidRPr="00233709" w:rsidRDefault="00233709" w:rsidP="00233709">
      <w:pPr>
        <w:rPr>
          <w:rFonts w:ascii="Arial" w:hAnsi="Arial" w:cs="Arial"/>
          <w:sz w:val="24"/>
          <w:szCs w:val="24"/>
        </w:rPr>
      </w:pPr>
    </w:p>
    <w:p w14:paraId="2DBC7568" w14:textId="77777777" w:rsidR="00371BD4" w:rsidRPr="00233709" w:rsidRDefault="00371BD4" w:rsidP="00233709">
      <w:pPr>
        <w:pStyle w:val="ListParagraph"/>
        <w:rPr>
          <w:rFonts w:ascii="Arial" w:hAnsi="Arial" w:cs="Arial"/>
          <w:sz w:val="24"/>
          <w:szCs w:val="24"/>
        </w:rPr>
      </w:pPr>
    </w:p>
    <w:p w14:paraId="31F0ED2D" w14:textId="77777777" w:rsidR="00EC35D3" w:rsidRPr="00233709" w:rsidRDefault="00EC35D3" w:rsidP="00233709">
      <w:pPr>
        <w:pStyle w:val="ListParagraph"/>
        <w:rPr>
          <w:rFonts w:ascii="Arial" w:hAnsi="Arial" w:cs="Arial"/>
          <w:sz w:val="24"/>
          <w:szCs w:val="24"/>
        </w:rPr>
      </w:pPr>
    </w:p>
    <w:p w14:paraId="02C79B63" w14:textId="77777777" w:rsidR="00371BD4" w:rsidRPr="00233709" w:rsidRDefault="00371BD4" w:rsidP="00233709">
      <w:pPr>
        <w:pStyle w:val="ListParagraph"/>
        <w:numPr>
          <w:ilvl w:val="0"/>
          <w:numId w:val="2"/>
        </w:numPr>
        <w:rPr>
          <w:rFonts w:ascii="Arial" w:hAnsi="Arial" w:cs="Arial"/>
          <w:sz w:val="24"/>
          <w:szCs w:val="24"/>
        </w:rPr>
      </w:pPr>
      <w:r w:rsidRPr="00233709">
        <w:rPr>
          <w:rFonts w:ascii="Arial" w:hAnsi="Arial" w:cs="Arial"/>
          <w:sz w:val="24"/>
          <w:szCs w:val="24"/>
        </w:rPr>
        <w:t>How will investment in infrastructure reduce business costs?</w:t>
      </w:r>
    </w:p>
    <w:p w14:paraId="3EA0D5BE" w14:textId="77777777" w:rsidR="00EC35D3" w:rsidRPr="00233709" w:rsidRDefault="00EC35D3" w:rsidP="00233709">
      <w:pPr>
        <w:rPr>
          <w:rFonts w:ascii="Arial" w:hAnsi="Arial" w:cs="Arial"/>
          <w:sz w:val="24"/>
          <w:szCs w:val="24"/>
        </w:rPr>
      </w:pPr>
      <w:r w:rsidRPr="00233709">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3F451B4C" wp14:editId="59350328">
                <wp:simplePos x="0" y="0"/>
                <wp:positionH relativeFrom="margin">
                  <wp:posOffset>417830</wp:posOffset>
                </wp:positionH>
                <wp:positionV relativeFrom="paragraph">
                  <wp:posOffset>5715</wp:posOffset>
                </wp:positionV>
                <wp:extent cx="5991225" cy="1304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5991225" cy="1304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07437" id="Rectangle 15" o:spid="_x0000_s1026" style="position:absolute;margin-left:32.9pt;margin-top:.45pt;width:471.75pt;height:102.75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" fillcolor="white [3212]" strokecolor="#1f3763 [1604]" strokeweight="1pt">
                <w10:wrap anchorx="margin"/>
              </v:rect>
            </w:pict>
          </mc:Fallback>
        </mc:AlternateContent>
      </w:r>
    </w:p>
    <w:p w14:paraId="3B34BD62" w14:textId="77777777" w:rsidR="00EC35D3" w:rsidRPr="00233709" w:rsidRDefault="00EC35D3" w:rsidP="00233709">
      <w:pPr>
        <w:rPr>
          <w:rFonts w:ascii="Arial" w:hAnsi="Arial" w:cs="Arial"/>
          <w:sz w:val="24"/>
          <w:szCs w:val="24"/>
        </w:rPr>
      </w:pPr>
    </w:p>
    <w:p w14:paraId="71521D88" w14:textId="77777777" w:rsidR="00EC35D3" w:rsidRPr="00233709" w:rsidRDefault="00EC35D3" w:rsidP="00233709">
      <w:pPr>
        <w:rPr>
          <w:rFonts w:ascii="Arial" w:hAnsi="Arial" w:cs="Arial"/>
          <w:sz w:val="24"/>
          <w:szCs w:val="24"/>
        </w:rPr>
      </w:pPr>
    </w:p>
    <w:p w14:paraId="0B2AF72F" w14:textId="77777777" w:rsidR="00371BD4" w:rsidRPr="00233709" w:rsidRDefault="00371BD4" w:rsidP="00233709">
      <w:pPr>
        <w:pStyle w:val="ListParagraph"/>
        <w:rPr>
          <w:rFonts w:ascii="Arial" w:hAnsi="Arial" w:cs="Arial"/>
          <w:sz w:val="24"/>
          <w:szCs w:val="24"/>
        </w:rPr>
      </w:pPr>
    </w:p>
    <w:p w14:paraId="07CC53F5" w14:textId="77777777" w:rsidR="00233709" w:rsidRPr="00233709" w:rsidRDefault="00233709" w:rsidP="00233709">
      <w:pPr>
        <w:pStyle w:val="ListParagraph"/>
        <w:rPr>
          <w:rFonts w:ascii="Arial" w:hAnsi="Arial" w:cs="Arial"/>
          <w:sz w:val="24"/>
          <w:szCs w:val="24"/>
        </w:rPr>
      </w:pPr>
    </w:p>
    <w:p w14:paraId="2D113180" w14:textId="34692084" w:rsidR="00233709" w:rsidRPr="00233709" w:rsidRDefault="00233709" w:rsidP="00233709">
      <w:pPr>
        <w:rPr>
          <w:rFonts w:ascii="Arial" w:hAnsi="Arial" w:cs="Arial"/>
          <w:sz w:val="24"/>
          <w:szCs w:val="24"/>
        </w:rPr>
      </w:pPr>
    </w:p>
    <w:p w14:paraId="553DF9F5" w14:textId="2614E3EB" w:rsidR="00233709" w:rsidRPr="00233709" w:rsidRDefault="00233709" w:rsidP="00233709">
      <w:pPr>
        <w:pStyle w:val="ListParagraph"/>
        <w:rPr>
          <w:rFonts w:ascii="Arial" w:hAnsi="Arial" w:cs="Arial"/>
          <w:sz w:val="24"/>
          <w:szCs w:val="24"/>
        </w:rPr>
      </w:pPr>
    </w:p>
    <w:p w14:paraId="0A5985C4" w14:textId="0A9AD213" w:rsidR="00371BD4" w:rsidRPr="00233709" w:rsidRDefault="00371BD4" w:rsidP="00233709">
      <w:pPr>
        <w:pStyle w:val="ListParagraph"/>
        <w:numPr>
          <w:ilvl w:val="0"/>
          <w:numId w:val="2"/>
        </w:numPr>
        <w:rPr>
          <w:rFonts w:ascii="Arial" w:hAnsi="Arial" w:cs="Arial"/>
          <w:sz w:val="24"/>
          <w:szCs w:val="24"/>
        </w:rPr>
      </w:pPr>
      <w:r w:rsidRPr="00233709">
        <w:rPr>
          <w:rFonts w:ascii="Arial" w:hAnsi="Arial" w:cs="Arial"/>
          <w:sz w:val="24"/>
          <w:szCs w:val="24"/>
        </w:rPr>
        <w:t>What is the Eurozone?</w:t>
      </w:r>
    </w:p>
    <w:p w14:paraId="276D72D1" w14:textId="3E1CDC00" w:rsidR="00EC35D3" w:rsidRPr="00233709" w:rsidRDefault="00233709" w:rsidP="00233709">
      <w:pPr>
        <w:pStyle w:val="ListParagraph"/>
        <w:rPr>
          <w:rFonts w:ascii="Arial" w:hAnsi="Arial" w:cs="Arial"/>
          <w:sz w:val="24"/>
          <w:szCs w:val="24"/>
        </w:rPr>
      </w:pPr>
      <w:r w:rsidRPr="00233709">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61C6F97C" wp14:editId="65551CE2">
                <wp:simplePos x="0" y="0"/>
                <wp:positionH relativeFrom="margin">
                  <wp:posOffset>437745</wp:posOffset>
                </wp:positionH>
                <wp:positionV relativeFrom="paragraph">
                  <wp:posOffset>151130</wp:posOffset>
                </wp:positionV>
                <wp:extent cx="5991225" cy="1304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5991225" cy="1304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BE32D" id="Rectangle 16" o:spid="_x0000_s1026" style="position:absolute;margin-left:34.45pt;margin-top:11.9pt;width:471.75pt;height:102.75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" fillcolor="white [3212]" strokecolor="#1f3763 [1604]" strokeweight="1pt">
                <w10:wrap anchorx="margin"/>
              </v:rect>
            </w:pict>
          </mc:Fallback>
        </mc:AlternateContent>
      </w:r>
    </w:p>
    <w:p w14:paraId="2CDA81C3" w14:textId="1138763E" w:rsidR="006845D3" w:rsidRPr="00233709" w:rsidRDefault="006845D3" w:rsidP="00233709">
      <w:pPr>
        <w:pStyle w:val="ListParagraph"/>
        <w:rPr>
          <w:rFonts w:ascii="Arial" w:hAnsi="Arial" w:cs="Arial"/>
          <w:sz w:val="24"/>
          <w:szCs w:val="24"/>
        </w:rPr>
      </w:pPr>
    </w:p>
    <w:p w14:paraId="55B0D467" w14:textId="4BB48CD4" w:rsidR="006845D3" w:rsidRPr="00233709" w:rsidRDefault="006845D3" w:rsidP="00233709">
      <w:pPr>
        <w:pStyle w:val="ListParagraph"/>
        <w:rPr>
          <w:rFonts w:ascii="Arial" w:hAnsi="Arial" w:cs="Arial"/>
          <w:sz w:val="24"/>
          <w:szCs w:val="24"/>
        </w:rPr>
      </w:pPr>
    </w:p>
    <w:tbl>
      <w:tblPr>
        <w:tblStyle w:val="TableGrid"/>
        <w:tblpPr w:leftFromText="180" w:rightFromText="180" w:vertAnchor="text" w:horzAnchor="margin" w:tblpXSpec="center" w:tblpY="2548"/>
        <w:tblW w:w="0" w:type="auto"/>
        <w:tblLook w:val="04A0" w:firstRow="1" w:lastRow="0" w:firstColumn="1" w:lastColumn="0" w:noHBand="0" w:noVBand="1"/>
      </w:tblPr>
      <w:tblGrid>
        <w:gridCol w:w="1734"/>
        <w:gridCol w:w="1576"/>
        <w:gridCol w:w="1663"/>
        <w:gridCol w:w="1390"/>
        <w:gridCol w:w="1796"/>
        <w:gridCol w:w="1577"/>
      </w:tblGrid>
      <w:tr w:rsidR="00233709" w:rsidRPr="00233709" w14:paraId="366030D1" w14:textId="77777777" w:rsidTr="00233709">
        <w:tc>
          <w:tcPr>
            <w:tcW w:w="1734" w:type="dxa"/>
          </w:tcPr>
          <w:p w14:paraId="669010A1" w14:textId="77777777" w:rsidR="00233709" w:rsidRPr="00233709" w:rsidRDefault="00233709" w:rsidP="00233709">
            <w:pPr>
              <w:pStyle w:val="ListParagraph"/>
              <w:spacing w:line="276" w:lineRule="auto"/>
              <w:ind w:left="0"/>
              <w:rPr>
                <w:rFonts w:ascii="Arial" w:hAnsi="Arial" w:cs="Arial"/>
                <w:b/>
                <w:sz w:val="24"/>
                <w:szCs w:val="24"/>
              </w:rPr>
            </w:pPr>
            <w:r w:rsidRPr="00233709">
              <w:rPr>
                <w:rFonts w:ascii="Arial" w:hAnsi="Arial" w:cs="Arial"/>
                <w:b/>
                <w:sz w:val="24"/>
                <w:szCs w:val="24"/>
              </w:rPr>
              <w:t>Literacy</w:t>
            </w:r>
          </w:p>
        </w:tc>
        <w:tc>
          <w:tcPr>
            <w:tcW w:w="1576" w:type="dxa"/>
          </w:tcPr>
          <w:p w14:paraId="3FDAE7ED" w14:textId="77777777" w:rsidR="00233709" w:rsidRPr="00233709" w:rsidRDefault="00233709" w:rsidP="00233709">
            <w:pPr>
              <w:pStyle w:val="ListParagraph"/>
              <w:spacing w:line="276" w:lineRule="auto"/>
              <w:ind w:left="0"/>
              <w:jc w:val="center"/>
              <w:rPr>
                <w:rFonts w:ascii="Arial" w:hAnsi="Arial" w:cs="Arial"/>
                <w:b/>
                <w:sz w:val="24"/>
                <w:szCs w:val="24"/>
              </w:rPr>
            </w:pPr>
            <w:r w:rsidRPr="00233709">
              <w:rPr>
                <w:rFonts w:ascii="Arial" w:hAnsi="Arial" w:cs="Arial"/>
                <w:b/>
                <w:sz w:val="24"/>
                <w:szCs w:val="24"/>
              </w:rPr>
              <w:t>Score</w:t>
            </w:r>
          </w:p>
        </w:tc>
        <w:tc>
          <w:tcPr>
            <w:tcW w:w="1663" w:type="dxa"/>
          </w:tcPr>
          <w:p w14:paraId="4C00371A" w14:textId="77777777" w:rsidR="00233709" w:rsidRPr="00233709" w:rsidRDefault="00233709" w:rsidP="00233709">
            <w:pPr>
              <w:pStyle w:val="ListParagraph"/>
              <w:spacing w:line="276" w:lineRule="auto"/>
              <w:ind w:left="0"/>
              <w:rPr>
                <w:rFonts w:ascii="Arial" w:hAnsi="Arial" w:cs="Arial"/>
                <w:b/>
                <w:sz w:val="24"/>
                <w:szCs w:val="24"/>
              </w:rPr>
            </w:pPr>
            <w:r w:rsidRPr="00233709">
              <w:rPr>
                <w:rFonts w:ascii="Arial" w:hAnsi="Arial" w:cs="Arial"/>
                <w:b/>
                <w:sz w:val="24"/>
                <w:szCs w:val="24"/>
              </w:rPr>
              <w:t>Numeracy</w:t>
            </w:r>
          </w:p>
        </w:tc>
        <w:tc>
          <w:tcPr>
            <w:tcW w:w="1390" w:type="dxa"/>
          </w:tcPr>
          <w:p w14:paraId="3F4ECFA4" w14:textId="77777777" w:rsidR="00233709" w:rsidRPr="00233709" w:rsidRDefault="00233709" w:rsidP="00233709">
            <w:pPr>
              <w:pStyle w:val="ListParagraph"/>
              <w:spacing w:line="276" w:lineRule="auto"/>
              <w:ind w:left="0"/>
              <w:jc w:val="center"/>
              <w:rPr>
                <w:rFonts w:ascii="Arial" w:hAnsi="Arial" w:cs="Arial"/>
                <w:b/>
                <w:sz w:val="24"/>
                <w:szCs w:val="24"/>
              </w:rPr>
            </w:pPr>
            <w:r w:rsidRPr="00233709">
              <w:rPr>
                <w:rFonts w:ascii="Arial" w:hAnsi="Arial" w:cs="Arial"/>
                <w:b/>
                <w:sz w:val="24"/>
                <w:szCs w:val="24"/>
              </w:rPr>
              <w:t>Score</w:t>
            </w:r>
          </w:p>
        </w:tc>
        <w:tc>
          <w:tcPr>
            <w:tcW w:w="1796" w:type="dxa"/>
          </w:tcPr>
          <w:p w14:paraId="4D808F55" w14:textId="77777777" w:rsidR="00233709" w:rsidRPr="00233709" w:rsidRDefault="00233709" w:rsidP="00233709">
            <w:pPr>
              <w:pStyle w:val="ListParagraph"/>
              <w:spacing w:line="276" w:lineRule="auto"/>
              <w:ind w:left="0"/>
              <w:rPr>
                <w:rFonts w:ascii="Arial" w:hAnsi="Arial" w:cs="Arial"/>
                <w:b/>
                <w:sz w:val="24"/>
                <w:szCs w:val="24"/>
              </w:rPr>
            </w:pPr>
            <w:r w:rsidRPr="00233709">
              <w:rPr>
                <w:rFonts w:ascii="Arial" w:hAnsi="Arial" w:cs="Arial"/>
                <w:b/>
                <w:sz w:val="24"/>
                <w:szCs w:val="24"/>
              </w:rPr>
              <w:t>Subject skills</w:t>
            </w:r>
          </w:p>
        </w:tc>
        <w:tc>
          <w:tcPr>
            <w:tcW w:w="1577" w:type="dxa"/>
          </w:tcPr>
          <w:p w14:paraId="58079807" w14:textId="77777777" w:rsidR="00233709" w:rsidRPr="00233709" w:rsidRDefault="00233709" w:rsidP="00233709">
            <w:pPr>
              <w:pStyle w:val="ListParagraph"/>
              <w:spacing w:line="276" w:lineRule="auto"/>
              <w:ind w:left="0"/>
              <w:jc w:val="center"/>
              <w:rPr>
                <w:rFonts w:ascii="Arial" w:hAnsi="Arial" w:cs="Arial"/>
                <w:b/>
                <w:sz w:val="24"/>
                <w:szCs w:val="24"/>
              </w:rPr>
            </w:pPr>
            <w:r w:rsidRPr="00233709">
              <w:rPr>
                <w:rFonts w:ascii="Arial" w:hAnsi="Arial" w:cs="Arial"/>
                <w:b/>
                <w:sz w:val="24"/>
                <w:szCs w:val="24"/>
              </w:rPr>
              <w:t>Score</w:t>
            </w:r>
          </w:p>
        </w:tc>
      </w:tr>
      <w:tr w:rsidR="00233709" w:rsidRPr="00233709" w14:paraId="7D431486" w14:textId="77777777" w:rsidTr="00233709">
        <w:tc>
          <w:tcPr>
            <w:tcW w:w="1734" w:type="dxa"/>
          </w:tcPr>
          <w:p w14:paraId="233D8776" w14:textId="77777777" w:rsidR="00233709" w:rsidRPr="00233709" w:rsidRDefault="00233709" w:rsidP="00233709">
            <w:pPr>
              <w:pStyle w:val="ListParagraph"/>
              <w:spacing w:line="276" w:lineRule="auto"/>
              <w:ind w:left="0"/>
              <w:rPr>
                <w:rFonts w:ascii="Arial" w:hAnsi="Arial" w:cs="Arial"/>
                <w:sz w:val="24"/>
                <w:szCs w:val="24"/>
              </w:rPr>
            </w:pPr>
            <w:r w:rsidRPr="00233709">
              <w:rPr>
                <w:rFonts w:ascii="Arial" w:hAnsi="Arial" w:cs="Arial"/>
                <w:sz w:val="24"/>
                <w:szCs w:val="24"/>
              </w:rPr>
              <w:t>Very Good</w:t>
            </w:r>
          </w:p>
        </w:tc>
        <w:tc>
          <w:tcPr>
            <w:tcW w:w="1576" w:type="dxa"/>
          </w:tcPr>
          <w:p w14:paraId="0A8282ED" w14:textId="77777777" w:rsidR="00233709" w:rsidRPr="00233709" w:rsidRDefault="00233709" w:rsidP="00233709">
            <w:pPr>
              <w:pStyle w:val="ListParagraph"/>
              <w:spacing w:line="276" w:lineRule="auto"/>
              <w:ind w:left="0"/>
              <w:jc w:val="center"/>
              <w:rPr>
                <w:rFonts w:ascii="Arial" w:hAnsi="Arial" w:cs="Arial"/>
                <w:sz w:val="24"/>
                <w:szCs w:val="24"/>
              </w:rPr>
            </w:pPr>
            <w:r w:rsidRPr="00233709">
              <w:rPr>
                <w:rFonts w:ascii="Arial" w:hAnsi="Arial" w:cs="Arial"/>
                <w:sz w:val="24"/>
                <w:szCs w:val="24"/>
              </w:rPr>
              <w:t>1</w:t>
            </w:r>
          </w:p>
        </w:tc>
        <w:tc>
          <w:tcPr>
            <w:tcW w:w="1663" w:type="dxa"/>
          </w:tcPr>
          <w:p w14:paraId="4BE57565" w14:textId="77777777" w:rsidR="00233709" w:rsidRPr="00233709" w:rsidRDefault="00233709" w:rsidP="00233709">
            <w:pPr>
              <w:pStyle w:val="ListParagraph"/>
              <w:spacing w:line="276" w:lineRule="auto"/>
              <w:ind w:left="0"/>
              <w:rPr>
                <w:rFonts w:ascii="Arial" w:hAnsi="Arial" w:cs="Arial"/>
                <w:sz w:val="24"/>
                <w:szCs w:val="24"/>
              </w:rPr>
            </w:pPr>
            <w:r w:rsidRPr="00233709">
              <w:rPr>
                <w:rFonts w:ascii="Arial" w:hAnsi="Arial" w:cs="Arial"/>
                <w:sz w:val="24"/>
                <w:szCs w:val="24"/>
              </w:rPr>
              <w:t>Very Good</w:t>
            </w:r>
          </w:p>
        </w:tc>
        <w:tc>
          <w:tcPr>
            <w:tcW w:w="1390" w:type="dxa"/>
          </w:tcPr>
          <w:p w14:paraId="3CD57F7B" w14:textId="77777777" w:rsidR="00233709" w:rsidRPr="00233709" w:rsidRDefault="00233709" w:rsidP="00233709">
            <w:pPr>
              <w:pStyle w:val="ListParagraph"/>
              <w:spacing w:line="276" w:lineRule="auto"/>
              <w:ind w:left="0"/>
              <w:jc w:val="center"/>
              <w:rPr>
                <w:rFonts w:ascii="Arial" w:hAnsi="Arial" w:cs="Arial"/>
                <w:sz w:val="24"/>
                <w:szCs w:val="24"/>
              </w:rPr>
            </w:pPr>
            <w:r w:rsidRPr="00233709">
              <w:rPr>
                <w:rFonts w:ascii="Arial" w:hAnsi="Arial" w:cs="Arial"/>
                <w:sz w:val="24"/>
                <w:szCs w:val="24"/>
              </w:rPr>
              <w:t>1</w:t>
            </w:r>
          </w:p>
        </w:tc>
        <w:tc>
          <w:tcPr>
            <w:tcW w:w="1796" w:type="dxa"/>
          </w:tcPr>
          <w:p w14:paraId="658858B7" w14:textId="77777777" w:rsidR="00233709" w:rsidRPr="00233709" w:rsidRDefault="00233709" w:rsidP="00233709">
            <w:pPr>
              <w:pStyle w:val="ListParagraph"/>
              <w:spacing w:line="276" w:lineRule="auto"/>
              <w:ind w:left="0"/>
              <w:rPr>
                <w:rFonts w:ascii="Arial" w:hAnsi="Arial" w:cs="Arial"/>
                <w:sz w:val="24"/>
                <w:szCs w:val="24"/>
              </w:rPr>
            </w:pPr>
            <w:r w:rsidRPr="00233709">
              <w:rPr>
                <w:rFonts w:ascii="Arial" w:hAnsi="Arial" w:cs="Arial"/>
                <w:sz w:val="24"/>
                <w:szCs w:val="24"/>
              </w:rPr>
              <w:t>Very Good</w:t>
            </w:r>
          </w:p>
        </w:tc>
        <w:tc>
          <w:tcPr>
            <w:tcW w:w="1577" w:type="dxa"/>
          </w:tcPr>
          <w:p w14:paraId="3AC045D0" w14:textId="77777777" w:rsidR="00233709" w:rsidRPr="00233709" w:rsidRDefault="00233709" w:rsidP="00233709">
            <w:pPr>
              <w:pStyle w:val="ListParagraph"/>
              <w:spacing w:line="276" w:lineRule="auto"/>
              <w:ind w:left="0"/>
              <w:jc w:val="center"/>
              <w:rPr>
                <w:rFonts w:ascii="Arial" w:hAnsi="Arial" w:cs="Arial"/>
                <w:sz w:val="24"/>
                <w:szCs w:val="24"/>
              </w:rPr>
            </w:pPr>
            <w:r w:rsidRPr="00233709">
              <w:rPr>
                <w:rFonts w:ascii="Arial" w:hAnsi="Arial" w:cs="Arial"/>
                <w:sz w:val="24"/>
                <w:szCs w:val="24"/>
              </w:rPr>
              <w:t>1</w:t>
            </w:r>
          </w:p>
        </w:tc>
      </w:tr>
      <w:tr w:rsidR="00233709" w:rsidRPr="00233709" w14:paraId="7AB92CC1" w14:textId="77777777" w:rsidTr="00233709">
        <w:tc>
          <w:tcPr>
            <w:tcW w:w="1734" w:type="dxa"/>
          </w:tcPr>
          <w:p w14:paraId="11776253" w14:textId="77777777" w:rsidR="00233709" w:rsidRPr="00233709" w:rsidRDefault="00233709" w:rsidP="00233709">
            <w:pPr>
              <w:pStyle w:val="ListParagraph"/>
              <w:spacing w:line="276" w:lineRule="auto"/>
              <w:ind w:left="0"/>
              <w:rPr>
                <w:rFonts w:ascii="Arial" w:hAnsi="Arial" w:cs="Arial"/>
                <w:sz w:val="24"/>
                <w:szCs w:val="24"/>
              </w:rPr>
            </w:pPr>
            <w:r w:rsidRPr="00233709">
              <w:rPr>
                <w:rFonts w:ascii="Arial" w:hAnsi="Arial" w:cs="Arial"/>
                <w:sz w:val="24"/>
                <w:szCs w:val="24"/>
              </w:rPr>
              <w:t>Satisfactory</w:t>
            </w:r>
          </w:p>
        </w:tc>
        <w:tc>
          <w:tcPr>
            <w:tcW w:w="1576" w:type="dxa"/>
          </w:tcPr>
          <w:p w14:paraId="2C03D78E" w14:textId="77777777" w:rsidR="00233709" w:rsidRPr="00233709" w:rsidRDefault="00233709" w:rsidP="00233709">
            <w:pPr>
              <w:pStyle w:val="ListParagraph"/>
              <w:spacing w:line="276" w:lineRule="auto"/>
              <w:ind w:left="0"/>
              <w:jc w:val="center"/>
              <w:rPr>
                <w:rFonts w:ascii="Arial" w:hAnsi="Arial" w:cs="Arial"/>
                <w:sz w:val="24"/>
                <w:szCs w:val="24"/>
              </w:rPr>
            </w:pPr>
            <w:r w:rsidRPr="00233709">
              <w:rPr>
                <w:rFonts w:ascii="Arial" w:hAnsi="Arial" w:cs="Arial"/>
                <w:sz w:val="24"/>
                <w:szCs w:val="24"/>
              </w:rPr>
              <w:t>2</w:t>
            </w:r>
          </w:p>
        </w:tc>
        <w:tc>
          <w:tcPr>
            <w:tcW w:w="1663" w:type="dxa"/>
          </w:tcPr>
          <w:p w14:paraId="2A712E6A" w14:textId="77777777" w:rsidR="00233709" w:rsidRPr="00233709" w:rsidRDefault="00233709" w:rsidP="00233709">
            <w:pPr>
              <w:pStyle w:val="ListParagraph"/>
              <w:spacing w:line="276" w:lineRule="auto"/>
              <w:ind w:left="0"/>
              <w:rPr>
                <w:rFonts w:ascii="Arial" w:hAnsi="Arial" w:cs="Arial"/>
                <w:sz w:val="24"/>
                <w:szCs w:val="24"/>
              </w:rPr>
            </w:pPr>
            <w:r w:rsidRPr="00233709">
              <w:rPr>
                <w:rFonts w:ascii="Arial" w:hAnsi="Arial" w:cs="Arial"/>
                <w:sz w:val="24"/>
                <w:szCs w:val="24"/>
              </w:rPr>
              <w:t>Satisfactory</w:t>
            </w:r>
          </w:p>
        </w:tc>
        <w:tc>
          <w:tcPr>
            <w:tcW w:w="1390" w:type="dxa"/>
          </w:tcPr>
          <w:p w14:paraId="530E6B74" w14:textId="77777777" w:rsidR="00233709" w:rsidRPr="00233709" w:rsidRDefault="00233709" w:rsidP="00233709">
            <w:pPr>
              <w:pStyle w:val="ListParagraph"/>
              <w:spacing w:line="276" w:lineRule="auto"/>
              <w:ind w:left="0"/>
              <w:jc w:val="center"/>
              <w:rPr>
                <w:rFonts w:ascii="Arial" w:hAnsi="Arial" w:cs="Arial"/>
                <w:sz w:val="24"/>
                <w:szCs w:val="24"/>
              </w:rPr>
            </w:pPr>
            <w:r w:rsidRPr="00233709">
              <w:rPr>
                <w:rFonts w:ascii="Arial" w:hAnsi="Arial" w:cs="Arial"/>
                <w:sz w:val="24"/>
                <w:szCs w:val="24"/>
              </w:rPr>
              <w:t>2</w:t>
            </w:r>
          </w:p>
        </w:tc>
        <w:tc>
          <w:tcPr>
            <w:tcW w:w="1796" w:type="dxa"/>
          </w:tcPr>
          <w:p w14:paraId="6B3D1DE6" w14:textId="77777777" w:rsidR="00233709" w:rsidRPr="00233709" w:rsidRDefault="00233709" w:rsidP="00233709">
            <w:pPr>
              <w:pStyle w:val="ListParagraph"/>
              <w:spacing w:line="276" w:lineRule="auto"/>
              <w:ind w:left="0"/>
              <w:rPr>
                <w:rFonts w:ascii="Arial" w:hAnsi="Arial" w:cs="Arial"/>
                <w:sz w:val="24"/>
                <w:szCs w:val="24"/>
              </w:rPr>
            </w:pPr>
            <w:r w:rsidRPr="00233709">
              <w:rPr>
                <w:rFonts w:ascii="Arial" w:hAnsi="Arial" w:cs="Arial"/>
                <w:sz w:val="24"/>
                <w:szCs w:val="24"/>
              </w:rPr>
              <w:t>Satisfactory</w:t>
            </w:r>
          </w:p>
        </w:tc>
        <w:tc>
          <w:tcPr>
            <w:tcW w:w="1577" w:type="dxa"/>
          </w:tcPr>
          <w:p w14:paraId="22B0FBD0" w14:textId="77777777" w:rsidR="00233709" w:rsidRPr="00233709" w:rsidRDefault="00233709" w:rsidP="00233709">
            <w:pPr>
              <w:pStyle w:val="ListParagraph"/>
              <w:spacing w:line="276" w:lineRule="auto"/>
              <w:ind w:left="0"/>
              <w:jc w:val="center"/>
              <w:rPr>
                <w:rFonts w:ascii="Arial" w:hAnsi="Arial" w:cs="Arial"/>
                <w:sz w:val="24"/>
                <w:szCs w:val="24"/>
              </w:rPr>
            </w:pPr>
            <w:r w:rsidRPr="00233709">
              <w:rPr>
                <w:rFonts w:ascii="Arial" w:hAnsi="Arial" w:cs="Arial"/>
                <w:sz w:val="24"/>
                <w:szCs w:val="24"/>
              </w:rPr>
              <w:t>2</w:t>
            </w:r>
          </w:p>
        </w:tc>
      </w:tr>
      <w:tr w:rsidR="00233709" w:rsidRPr="00233709" w14:paraId="5C8E5CB2" w14:textId="77777777" w:rsidTr="00233709">
        <w:tc>
          <w:tcPr>
            <w:tcW w:w="1734" w:type="dxa"/>
          </w:tcPr>
          <w:p w14:paraId="2CF6F248" w14:textId="77777777" w:rsidR="00233709" w:rsidRPr="00233709" w:rsidRDefault="00233709" w:rsidP="00233709">
            <w:pPr>
              <w:pStyle w:val="ListParagraph"/>
              <w:spacing w:line="276" w:lineRule="auto"/>
              <w:ind w:left="0"/>
              <w:rPr>
                <w:rFonts w:ascii="Arial" w:hAnsi="Arial" w:cs="Arial"/>
                <w:sz w:val="24"/>
                <w:szCs w:val="24"/>
              </w:rPr>
            </w:pPr>
            <w:r w:rsidRPr="00233709">
              <w:rPr>
                <w:rFonts w:ascii="Arial" w:hAnsi="Arial" w:cs="Arial"/>
                <w:sz w:val="24"/>
                <w:szCs w:val="24"/>
              </w:rPr>
              <w:t>R I</w:t>
            </w:r>
          </w:p>
        </w:tc>
        <w:tc>
          <w:tcPr>
            <w:tcW w:w="1576" w:type="dxa"/>
          </w:tcPr>
          <w:p w14:paraId="18B98BE6" w14:textId="77777777" w:rsidR="00233709" w:rsidRPr="00233709" w:rsidRDefault="00233709" w:rsidP="00233709">
            <w:pPr>
              <w:pStyle w:val="ListParagraph"/>
              <w:spacing w:line="276" w:lineRule="auto"/>
              <w:ind w:left="0"/>
              <w:jc w:val="center"/>
              <w:rPr>
                <w:rFonts w:ascii="Arial" w:hAnsi="Arial" w:cs="Arial"/>
                <w:sz w:val="24"/>
                <w:szCs w:val="24"/>
              </w:rPr>
            </w:pPr>
            <w:r w:rsidRPr="00233709">
              <w:rPr>
                <w:rFonts w:ascii="Arial" w:hAnsi="Arial" w:cs="Arial"/>
                <w:sz w:val="24"/>
                <w:szCs w:val="24"/>
              </w:rPr>
              <w:t>3</w:t>
            </w:r>
          </w:p>
        </w:tc>
        <w:tc>
          <w:tcPr>
            <w:tcW w:w="1663" w:type="dxa"/>
          </w:tcPr>
          <w:p w14:paraId="2138C4EF" w14:textId="77777777" w:rsidR="00233709" w:rsidRPr="00233709" w:rsidRDefault="00233709" w:rsidP="00233709">
            <w:pPr>
              <w:pStyle w:val="ListParagraph"/>
              <w:spacing w:line="276" w:lineRule="auto"/>
              <w:ind w:left="0"/>
              <w:rPr>
                <w:rFonts w:ascii="Arial" w:hAnsi="Arial" w:cs="Arial"/>
                <w:sz w:val="24"/>
                <w:szCs w:val="24"/>
              </w:rPr>
            </w:pPr>
            <w:r w:rsidRPr="00233709">
              <w:rPr>
                <w:rFonts w:ascii="Arial" w:hAnsi="Arial" w:cs="Arial"/>
                <w:sz w:val="24"/>
                <w:szCs w:val="24"/>
              </w:rPr>
              <w:t>R I</w:t>
            </w:r>
          </w:p>
        </w:tc>
        <w:tc>
          <w:tcPr>
            <w:tcW w:w="1390" w:type="dxa"/>
          </w:tcPr>
          <w:p w14:paraId="19E7B827" w14:textId="77777777" w:rsidR="00233709" w:rsidRPr="00233709" w:rsidRDefault="00233709" w:rsidP="00233709">
            <w:pPr>
              <w:pStyle w:val="ListParagraph"/>
              <w:spacing w:line="276" w:lineRule="auto"/>
              <w:ind w:left="0"/>
              <w:jc w:val="center"/>
              <w:rPr>
                <w:rFonts w:ascii="Arial" w:hAnsi="Arial" w:cs="Arial"/>
                <w:sz w:val="24"/>
                <w:szCs w:val="24"/>
              </w:rPr>
            </w:pPr>
            <w:r w:rsidRPr="00233709">
              <w:rPr>
                <w:rFonts w:ascii="Arial" w:hAnsi="Arial" w:cs="Arial"/>
                <w:sz w:val="24"/>
                <w:szCs w:val="24"/>
              </w:rPr>
              <w:t>3</w:t>
            </w:r>
          </w:p>
        </w:tc>
        <w:tc>
          <w:tcPr>
            <w:tcW w:w="1796" w:type="dxa"/>
          </w:tcPr>
          <w:p w14:paraId="699073E7" w14:textId="77777777" w:rsidR="00233709" w:rsidRPr="00233709" w:rsidRDefault="00233709" w:rsidP="00233709">
            <w:pPr>
              <w:pStyle w:val="ListParagraph"/>
              <w:spacing w:line="276" w:lineRule="auto"/>
              <w:ind w:left="0"/>
              <w:rPr>
                <w:rFonts w:ascii="Arial" w:hAnsi="Arial" w:cs="Arial"/>
                <w:sz w:val="24"/>
                <w:szCs w:val="24"/>
              </w:rPr>
            </w:pPr>
            <w:r w:rsidRPr="00233709">
              <w:rPr>
                <w:rFonts w:ascii="Arial" w:hAnsi="Arial" w:cs="Arial"/>
                <w:sz w:val="24"/>
                <w:szCs w:val="24"/>
              </w:rPr>
              <w:t>R I</w:t>
            </w:r>
          </w:p>
        </w:tc>
        <w:tc>
          <w:tcPr>
            <w:tcW w:w="1577" w:type="dxa"/>
          </w:tcPr>
          <w:p w14:paraId="65BB468C" w14:textId="77777777" w:rsidR="00233709" w:rsidRPr="00233709" w:rsidRDefault="00233709" w:rsidP="00233709">
            <w:pPr>
              <w:pStyle w:val="ListParagraph"/>
              <w:spacing w:line="276" w:lineRule="auto"/>
              <w:ind w:left="0"/>
              <w:jc w:val="center"/>
              <w:rPr>
                <w:rFonts w:ascii="Arial" w:hAnsi="Arial" w:cs="Arial"/>
                <w:sz w:val="24"/>
                <w:szCs w:val="24"/>
              </w:rPr>
            </w:pPr>
            <w:r w:rsidRPr="00233709">
              <w:rPr>
                <w:rFonts w:ascii="Arial" w:hAnsi="Arial" w:cs="Arial"/>
                <w:sz w:val="24"/>
                <w:szCs w:val="24"/>
              </w:rPr>
              <w:t>3</w:t>
            </w:r>
          </w:p>
        </w:tc>
      </w:tr>
    </w:tbl>
    <w:p w14:paraId="0714A6CB" w14:textId="20D6C046" w:rsidR="006845D3" w:rsidRPr="00233709" w:rsidRDefault="006845D3" w:rsidP="00233709">
      <w:pPr>
        <w:rPr>
          <w:rFonts w:ascii="Arial" w:hAnsi="Arial" w:cs="Arial"/>
          <w:sz w:val="24"/>
          <w:szCs w:val="24"/>
        </w:rPr>
      </w:pPr>
    </w:p>
    <w:sectPr w:rsidR="006845D3" w:rsidRPr="00233709" w:rsidSect="00C615E3">
      <w:headerReference w:type="default" r:id="rId10"/>
      <w:pgSz w:w="11906" w:h="16838" w:code="9"/>
      <w:pgMar w:top="198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ED60" w14:textId="77777777" w:rsidR="00C615E3" w:rsidRDefault="00C615E3" w:rsidP="00C615E3">
      <w:pPr>
        <w:spacing w:after="0" w:line="240" w:lineRule="auto"/>
      </w:pPr>
      <w:r>
        <w:separator/>
      </w:r>
    </w:p>
  </w:endnote>
  <w:endnote w:type="continuationSeparator" w:id="0">
    <w:p w14:paraId="5A4B8D0C" w14:textId="77777777" w:rsidR="00C615E3" w:rsidRDefault="00C615E3" w:rsidP="00C6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78B5" w14:textId="77777777" w:rsidR="00C615E3" w:rsidRDefault="00C615E3" w:rsidP="00C615E3">
      <w:pPr>
        <w:spacing w:after="0" w:line="240" w:lineRule="auto"/>
      </w:pPr>
      <w:r>
        <w:separator/>
      </w:r>
    </w:p>
  </w:footnote>
  <w:footnote w:type="continuationSeparator" w:id="0">
    <w:p w14:paraId="003E8713" w14:textId="77777777" w:rsidR="00C615E3" w:rsidRDefault="00C615E3" w:rsidP="00C61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4A67" w14:textId="33CB5C34" w:rsidR="00C615E3" w:rsidRDefault="00C615E3" w:rsidP="00C615E3">
    <w:pPr>
      <w:spacing w:after="0"/>
      <w:ind w:left="-709"/>
      <w:jc w:val="right"/>
      <w:rPr>
        <w:rFonts w:ascii="Arial" w:hAnsi="Arial" w:cs="Arial"/>
        <w:bCs/>
        <w:color w:val="CC0088"/>
        <w:sz w:val="36"/>
        <w:szCs w:val="52"/>
      </w:rPr>
    </w:pPr>
    <w:r>
      <w:rPr>
        <w:noProof/>
      </w:rPr>
      <w:drawing>
        <wp:anchor distT="0" distB="0" distL="114300" distR="114300" simplePos="0" relativeHeight="251659264" behindDoc="0" locked="0" layoutInCell="1" allowOverlap="1" wp14:anchorId="2F49BF8B" wp14:editId="3B460E90">
          <wp:simplePos x="0" y="0"/>
          <wp:positionH relativeFrom="margin">
            <wp:align>left</wp:align>
          </wp:positionH>
          <wp:positionV relativeFrom="paragraph">
            <wp:posOffset>7620</wp:posOffset>
          </wp:positionV>
          <wp:extent cx="2292350" cy="523875"/>
          <wp:effectExtent l="0" t="0" r="0" b="9525"/>
          <wp:wrapThrough wrapText="bothSides">
            <wp:wrapPolygon edited="0">
              <wp:start x="0" y="0"/>
              <wp:lineTo x="0" y="21207"/>
              <wp:lineTo x="21361" y="21207"/>
              <wp:lineTo x="2136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p>
  <w:p w14:paraId="01330C9E" w14:textId="77777777" w:rsidR="00C615E3" w:rsidRDefault="00C615E3" w:rsidP="00C615E3">
    <w:pPr>
      <w:ind w:left="2160" w:firstLine="720"/>
      <w:jc w:val="right"/>
      <w:rPr>
        <w:rFonts w:ascii="Arial" w:hAnsi="Arial" w:cs="Arial"/>
        <w:b/>
        <w:bCs/>
        <w:color w:val="CC0088"/>
        <w:sz w:val="52"/>
        <w:szCs w:val="52"/>
      </w:rPr>
    </w:pPr>
    <w:r>
      <w:rPr>
        <w:rFonts w:ascii="Arial" w:hAnsi="Arial" w:cs="Arial"/>
        <w:b/>
        <w:bCs/>
        <w:color w:val="CC0088"/>
        <w:sz w:val="52"/>
        <w:szCs w:val="52"/>
      </w:rPr>
      <w:t>Economics</w:t>
    </w:r>
    <w:r w:rsidR="00A17CCA">
      <w:rPr>
        <w:rFonts w:ascii="Arial" w:hAnsi="Arial" w:cs="Arial"/>
        <w:b/>
        <w:bCs/>
        <w:color w:val="CC0088"/>
        <w:sz w:val="52"/>
        <w:szCs w:val="52"/>
      </w:rPr>
      <w:t xml:space="preserve"> A-level</w:t>
    </w:r>
  </w:p>
  <w:p w14:paraId="1E77A98C" w14:textId="77777777" w:rsidR="00C615E3" w:rsidRDefault="00C61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D24E7"/>
    <w:multiLevelType w:val="hybridMultilevel"/>
    <w:tmpl w:val="0BDC4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CD4CE9"/>
    <w:multiLevelType w:val="hybridMultilevel"/>
    <w:tmpl w:val="2BC6D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9149365">
    <w:abstractNumId w:val="1"/>
  </w:num>
  <w:num w:numId="2" w16cid:durableId="1396471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F7C"/>
    <w:rsid w:val="0009347B"/>
    <w:rsid w:val="000E6E7B"/>
    <w:rsid w:val="000F32CA"/>
    <w:rsid w:val="0011259C"/>
    <w:rsid w:val="001758E9"/>
    <w:rsid w:val="00183446"/>
    <w:rsid w:val="0022168E"/>
    <w:rsid w:val="00233709"/>
    <w:rsid w:val="00316E65"/>
    <w:rsid w:val="00371BD4"/>
    <w:rsid w:val="00392F7C"/>
    <w:rsid w:val="004633B7"/>
    <w:rsid w:val="006845D3"/>
    <w:rsid w:val="0074363E"/>
    <w:rsid w:val="0077450C"/>
    <w:rsid w:val="00A17CCA"/>
    <w:rsid w:val="00C615E3"/>
    <w:rsid w:val="00CF21C6"/>
    <w:rsid w:val="00D0075F"/>
    <w:rsid w:val="00D754B9"/>
    <w:rsid w:val="00EC35D3"/>
    <w:rsid w:val="00F0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A17E15"/>
  <w15:chartTrackingRefBased/>
  <w15:docId w15:val="{324D0C92-C086-4D20-BFC6-33D89356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68E"/>
    <w:pPr>
      <w:ind w:left="720"/>
      <w:contextualSpacing/>
    </w:pPr>
  </w:style>
  <w:style w:type="paragraph" w:styleId="BalloonText">
    <w:name w:val="Balloon Text"/>
    <w:basedOn w:val="Normal"/>
    <w:link w:val="BalloonTextChar"/>
    <w:uiPriority w:val="99"/>
    <w:semiHidden/>
    <w:unhideWhenUsed/>
    <w:rsid w:val="00EC3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5D3"/>
    <w:rPr>
      <w:rFonts w:ascii="Segoe UI" w:hAnsi="Segoe UI" w:cs="Segoe UI"/>
      <w:sz w:val="18"/>
      <w:szCs w:val="18"/>
      <w:lang w:val="en-GB"/>
    </w:rPr>
  </w:style>
  <w:style w:type="table" w:styleId="TableGrid">
    <w:name w:val="Table Grid"/>
    <w:basedOn w:val="TableNormal"/>
    <w:uiPriority w:val="39"/>
    <w:rsid w:val="0068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5E3"/>
    <w:rPr>
      <w:lang w:val="en-GB"/>
    </w:rPr>
  </w:style>
  <w:style w:type="paragraph" w:styleId="Footer">
    <w:name w:val="footer"/>
    <w:basedOn w:val="Normal"/>
    <w:link w:val="FooterChar"/>
    <w:uiPriority w:val="99"/>
    <w:unhideWhenUsed/>
    <w:rsid w:val="00C61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5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1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AE2F3D244B884D98BB36083A38CFDD" ma:contentTypeVersion="4" ma:contentTypeDescription="Create a new document." ma:contentTypeScope="" ma:versionID="9719dcec1b56cdf30885ffbeec15c650">
  <xsd:schema xmlns:xsd="http://www.w3.org/2001/XMLSchema" xmlns:xs="http://www.w3.org/2001/XMLSchema" xmlns:p="http://schemas.microsoft.com/office/2006/metadata/properties" xmlns:ns2="01df4145-4620-4c4f-b5dd-48c4bd3bb6e7" targetNamespace="http://schemas.microsoft.com/office/2006/metadata/properties" ma:root="true" ma:fieldsID="a4d9090269569174e5d8329ba96b29f9" ns2:_="">
    <xsd:import namespace="01df4145-4620-4c4f-b5dd-48c4bd3bb6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f4145-4620-4c4f-b5dd-48c4bd3bb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1977B-4E16-4865-AA01-B92B1AEA7C83}">
  <ds:schemaRefs>
    <ds:schemaRef ds:uri="http://schemas.microsoft.com/sharepoint/v3/contenttype/forms"/>
  </ds:schemaRefs>
</ds:datastoreItem>
</file>

<file path=customXml/itemProps2.xml><?xml version="1.0" encoding="utf-8"?>
<ds:datastoreItem xmlns:ds="http://schemas.openxmlformats.org/officeDocument/2006/customXml" ds:itemID="{1112C252-AA8F-4E1E-B205-D76FF7F93735}">
  <ds:schemaRefs>
    <ds:schemaRef ds:uri="http://schemas.microsoft.com/office/2006/documentManagement/types"/>
    <ds:schemaRef ds:uri="01df4145-4620-4c4f-b5dd-48c4bd3bb6e7"/>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6FE4625-CE77-43FE-826A-23399A4FD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f4145-4620-4c4f-b5dd-48c4bd3bb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Davies</dc:creator>
  <cp:keywords/>
  <dc:description/>
  <cp:lastModifiedBy>Dee Kavia</cp:lastModifiedBy>
  <cp:revision>4</cp:revision>
  <cp:lastPrinted>2019-06-24T10:51:00Z</cp:lastPrinted>
  <dcterms:created xsi:type="dcterms:W3CDTF">2023-07-27T13:47:00Z</dcterms:created>
  <dcterms:modified xsi:type="dcterms:W3CDTF">2023-07-27T13:47:00Z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0x01010051AE2F3D244B884D98BB36083A38CFDD</vt:lpwstr>
  </property>
</Properties>
</file>